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1223" w14:textId="3B814420" w:rsidR="00DE6124" w:rsidRPr="005A59C1"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#12</w:t>
      </w:r>
      <w:r w:rsidR="00877721">
        <w:rPr>
          <w:rFonts w:ascii="Arial" w:hAnsi="Arial" w:cs="Arial"/>
          <w:b/>
          <w:sz w:val="24"/>
        </w:rPr>
        <w:t>8</w:t>
      </w:r>
      <w:r w:rsidR="006A40F5" w:rsidRPr="005A59C1">
        <w:rPr>
          <w:rFonts w:ascii="Arial" w:hAnsi="Arial" w:cs="Arial"/>
          <w:b/>
          <w:sz w:val="24"/>
        </w:rPr>
        <w:tab/>
      </w:r>
      <w:r w:rsidR="00DE6124" w:rsidRPr="005A59C1">
        <w:rPr>
          <w:rFonts w:ascii="Arial" w:eastAsia="Arial Bold" w:hAnsi="Arial" w:cs="Arial"/>
          <w:b/>
          <w:bCs/>
          <w:sz w:val="24"/>
          <w:lang w:eastAsia="zh-CN"/>
        </w:rPr>
        <w:tab/>
      </w:r>
      <w:r w:rsidR="00582A32" w:rsidRPr="00582A32">
        <w:rPr>
          <w:rFonts w:ascii="Arial" w:hAnsi="Arial" w:cs="Arial"/>
          <w:b/>
          <w:bCs/>
          <w:sz w:val="24"/>
          <w:lang w:eastAsia="zh-CN"/>
        </w:rPr>
        <w:t>R2-2409704</w:t>
      </w:r>
    </w:p>
    <w:bookmarkEnd w:id="0"/>
    <w:bookmarkEnd w:id="1"/>
    <w:p w14:paraId="25BAFBE9" w14:textId="5E2ED269" w:rsidR="00CA204F" w:rsidRPr="00CA204F" w:rsidRDefault="00877721" w:rsidP="00CA204F">
      <w:pPr>
        <w:pStyle w:val="Header"/>
        <w:rPr>
          <w:rFonts w:eastAsia="宋体" w:cs="Arial"/>
          <w:sz w:val="24"/>
          <w:szCs w:val="20"/>
        </w:rPr>
      </w:pPr>
      <w:r>
        <w:rPr>
          <w:rFonts w:eastAsia="宋体" w:cs="Arial" w:hint="eastAsia"/>
          <w:sz w:val="24"/>
          <w:szCs w:val="20"/>
          <w:lang w:eastAsia="zh-CN"/>
        </w:rPr>
        <w:t>Orlando</w:t>
      </w:r>
      <w:r w:rsidR="00303210" w:rsidRPr="00877721">
        <w:rPr>
          <w:rFonts w:eastAsia="宋体" w:cs="Arial"/>
          <w:sz w:val="24"/>
          <w:szCs w:val="20"/>
        </w:rPr>
        <w:t xml:space="preserve">, </w:t>
      </w:r>
      <w:r>
        <w:rPr>
          <w:rFonts w:eastAsia="宋体" w:cs="Arial"/>
          <w:sz w:val="24"/>
          <w:szCs w:val="20"/>
        </w:rPr>
        <w:t>USA</w:t>
      </w:r>
      <w:r w:rsidR="00303210" w:rsidRPr="00877721">
        <w:rPr>
          <w:rFonts w:eastAsia="宋体" w:cs="Arial"/>
          <w:sz w:val="24"/>
          <w:szCs w:val="20"/>
        </w:rPr>
        <w:t xml:space="preserve">, </w:t>
      </w:r>
      <w:r w:rsidR="00CA204F" w:rsidRPr="00877721">
        <w:rPr>
          <w:rFonts w:eastAsia="宋体" w:cs="Arial"/>
          <w:sz w:val="24"/>
          <w:szCs w:val="20"/>
        </w:rPr>
        <w:t>1</w:t>
      </w:r>
      <w:r>
        <w:rPr>
          <w:rFonts w:eastAsia="宋体" w:cs="Arial"/>
          <w:sz w:val="24"/>
          <w:szCs w:val="20"/>
        </w:rPr>
        <w:t>8</w:t>
      </w:r>
      <w:r w:rsidR="00CA204F" w:rsidRPr="00877721">
        <w:rPr>
          <w:rFonts w:eastAsia="宋体" w:cs="Arial"/>
          <w:sz w:val="24"/>
          <w:szCs w:val="20"/>
          <w:vertAlign w:val="superscript"/>
        </w:rPr>
        <w:t>th</w:t>
      </w:r>
      <w:r w:rsidR="00CA204F" w:rsidRPr="00877721">
        <w:rPr>
          <w:rFonts w:eastAsia="宋体" w:cs="Arial"/>
          <w:sz w:val="24"/>
          <w:szCs w:val="20"/>
        </w:rPr>
        <w:t xml:space="preserve"> – </w:t>
      </w:r>
      <w:r>
        <w:rPr>
          <w:rFonts w:eastAsia="宋体" w:cs="Arial"/>
          <w:sz w:val="24"/>
          <w:szCs w:val="20"/>
        </w:rPr>
        <w:t>22</w:t>
      </w:r>
      <w:r>
        <w:rPr>
          <w:rFonts w:eastAsia="宋体" w:cs="Arial"/>
          <w:sz w:val="24"/>
          <w:szCs w:val="20"/>
          <w:vertAlign w:val="superscript"/>
        </w:rPr>
        <w:t>nd</w:t>
      </w:r>
      <w:r w:rsidR="00C55FC5" w:rsidRPr="00877721">
        <w:rPr>
          <w:rFonts w:eastAsia="宋体" w:cs="Arial"/>
          <w:sz w:val="24"/>
          <w:szCs w:val="20"/>
        </w:rPr>
        <w:t xml:space="preserve"> </w:t>
      </w:r>
      <w:r>
        <w:rPr>
          <w:rFonts w:eastAsia="宋体" w:cs="Arial"/>
          <w:sz w:val="24"/>
          <w:szCs w:val="20"/>
        </w:rPr>
        <w:t>N</w:t>
      </w:r>
      <w:r>
        <w:rPr>
          <w:rFonts w:eastAsia="宋体" w:cs="Arial" w:hint="eastAsia"/>
          <w:sz w:val="24"/>
          <w:szCs w:val="20"/>
          <w:lang w:eastAsia="zh-CN"/>
        </w:rPr>
        <w:t>ov</w:t>
      </w:r>
      <w:r w:rsidR="00CA204F" w:rsidRPr="00877721">
        <w:rPr>
          <w:rFonts w:eastAsia="宋体" w:cs="Arial"/>
          <w:sz w:val="24"/>
          <w:szCs w:val="20"/>
        </w:rPr>
        <w:t xml:space="preserve"> 2024</w:t>
      </w:r>
    </w:p>
    <w:p w14:paraId="7D5580F9" w14:textId="651C1074" w:rsidR="007D1014" w:rsidRPr="005A59C1"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5A59C1" w:rsidRDefault="005C2F17">
      <w:pPr>
        <w:pStyle w:val="Header"/>
        <w:tabs>
          <w:tab w:val="clear" w:pos="4536"/>
          <w:tab w:val="left" w:pos="1800"/>
        </w:tabs>
        <w:ind w:left="1800" w:hanging="1800"/>
        <w:rPr>
          <w:rFonts w:eastAsia="宋体" w:cs="Arial"/>
          <w:sz w:val="24"/>
          <w:lang w:eastAsia="zh-CN"/>
        </w:rPr>
      </w:pPr>
      <w:r w:rsidRPr="005A59C1">
        <w:rPr>
          <w:rFonts w:cs="Arial"/>
          <w:sz w:val="24"/>
        </w:rPr>
        <w:t>Source:</w:t>
      </w:r>
      <w:r w:rsidRPr="005A59C1">
        <w:rPr>
          <w:rFonts w:cs="Arial"/>
          <w:sz w:val="24"/>
        </w:rPr>
        <w:tab/>
      </w:r>
      <w:r w:rsidRPr="005A59C1">
        <w:rPr>
          <w:rFonts w:eastAsia="宋体" w:cs="Arial"/>
          <w:sz w:val="24"/>
          <w:lang w:eastAsia="zh-CN"/>
        </w:rPr>
        <w:t>vivo</w:t>
      </w:r>
    </w:p>
    <w:p w14:paraId="7A64E6EE" w14:textId="2A410E5A" w:rsidR="007D1014" w:rsidRPr="005A59C1" w:rsidRDefault="005C2F17" w:rsidP="00380D67">
      <w:pPr>
        <w:pStyle w:val="Header"/>
        <w:tabs>
          <w:tab w:val="clear" w:pos="4536"/>
          <w:tab w:val="left" w:pos="1800"/>
        </w:tabs>
        <w:ind w:left="1841" w:hangingChars="764" w:hanging="1841"/>
        <w:rPr>
          <w:rFonts w:eastAsiaTheme="minorEastAsia" w:cs="Arial"/>
          <w:sz w:val="24"/>
          <w:lang w:eastAsia="zh-CN"/>
        </w:rPr>
      </w:pPr>
      <w:r w:rsidRPr="005A59C1">
        <w:rPr>
          <w:rFonts w:cs="Arial"/>
          <w:sz w:val="24"/>
        </w:rPr>
        <w:t>Title:</w:t>
      </w:r>
      <w:bookmarkStart w:id="2" w:name="Title"/>
      <w:bookmarkEnd w:id="2"/>
      <w:r w:rsidRPr="005A59C1">
        <w:rPr>
          <w:rFonts w:cs="Arial"/>
          <w:sz w:val="24"/>
        </w:rPr>
        <w:t xml:space="preserve">          </w:t>
      </w:r>
      <w:r w:rsidR="00820C18">
        <w:rPr>
          <w:rFonts w:cs="Arial"/>
          <w:sz w:val="24"/>
        </w:rPr>
        <w:t xml:space="preserve">Discussion on </w:t>
      </w:r>
      <w:r w:rsidR="00D64288" w:rsidRPr="00D64288">
        <w:rPr>
          <w:rFonts w:cs="Arial"/>
          <w:sz w:val="24"/>
        </w:rPr>
        <w:t>LCM for UE-sided model for Beam Management</w:t>
      </w:r>
    </w:p>
    <w:p w14:paraId="0BFC3B4A" w14:textId="2B44FCFA" w:rsidR="007D1014" w:rsidRPr="005A59C1" w:rsidRDefault="005C2F17">
      <w:pPr>
        <w:pStyle w:val="Header"/>
        <w:tabs>
          <w:tab w:val="left" w:pos="1800"/>
        </w:tabs>
        <w:rPr>
          <w:rFonts w:cs="Arial"/>
          <w:sz w:val="24"/>
        </w:rPr>
      </w:pPr>
      <w:r w:rsidRPr="005A59C1">
        <w:rPr>
          <w:rFonts w:cs="Arial"/>
          <w:sz w:val="24"/>
        </w:rPr>
        <w:t>Agenda Item:</w:t>
      </w:r>
      <w:bookmarkStart w:id="3" w:name="Source"/>
      <w:bookmarkEnd w:id="3"/>
      <w:r w:rsidRPr="005A59C1">
        <w:rPr>
          <w:rFonts w:cs="Arial"/>
          <w:sz w:val="24"/>
        </w:rPr>
        <w:tab/>
      </w:r>
      <w:r w:rsidR="00E478CE" w:rsidRPr="005A59C1">
        <w:rPr>
          <w:rFonts w:cs="Arial"/>
          <w:sz w:val="24"/>
        </w:rPr>
        <w:t>8</w:t>
      </w:r>
      <w:r w:rsidR="00716367" w:rsidRPr="005A59C1">
        <w:rPr>
          <w:rFonts w:cs="Arial"/>
          <w:sz w:val="24"/>
        </w:rPr>
        <w:t>.</w:t>
      </w:r>
      <w:r w:rsidR="00511EA9">
        <w:rPr>
          <w:rFonts w:cs="Arial"/>
          <w:sz w:val="24"/>
        </w:rPr>
        <w:t>1.2</w:t>
      </w:r>
      <w:r w:rsidR="00716367" w:rsidRPr="005A59C1">
        <w:rPr>
          <w:rFonts w:cs="Arial"/>
          <w:sz w:val="24"/>
        </w:rPr>
        <w:t>.</w:t>
      </w:r>
      <w:r w:rsidR="00E478CE" w:rsidRPr="005A59C1">
        <w:rPr>
          <w:rFonts w:cs="Arial"/>
          <w:sz w:val="24"/>
        </w:rPr>
        <w:t>2</w:t>
      </w:r>
    </w:p>
    <w:p w14:paraId="667B3F0D" w14:textId="77777777" w:rsidR="007D1014" w:rsidRPr="005A59C1" w:rsidRDefault="005C2F17">
      <w:pPr>
        <w:pStyle w:val="Header"/>
        <w:tabs>
          <w:tab w:val="left" w:pos="1800"/>
        </w:tabs>
        <w:rPr>
          <w:rFonts w:eastAsia="宋体" w:cs="Arial"/>
          <w:sz w:val="24"/>
          <w:lang w:eastAsia="zh-CN"/>
        </w:rPr>
      </w:pPr>
      <w:r w:rsidRPr="005A59C1">
        <w:rPr>
          <w:rFonts w:cs="Arial"/>
          <w:sz w:val="24"/>
        </w:rPr>
        <w:t>Document for:</w:t>
      </w:r>
      <w:r w:rsidRPr="005A59C1">
        <w:rPr>
          <w:rFonts w:cs="Arial"/>
          <w:sz w:val="24"/>
        </w:rPr>
        <w:tab/>
      </w:r>
      <w:bookmarkStart w:id="4" w:name="DocumentFor"/>
      <w:bookmarkEnd w:id="4"/>
      <w:r w:rsidRPr="005A59C1">
        <w:rPr>
          <w:rFonts w:cs="Arial"/>
          <w:sz w:val="24"/>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00A4B890" w14:textId="330C4D43" w:rsidR="00C23C06" w:rsidRDefault="00C23C06" w:rsidP="00FB4746">
      <w:pPr>
        <w:spacing w:beforeLines="50" w:before="120" w:after="120" w:line="260" w:lineRule="exact"/>
        <w:jc w:val="both"/>
        <w:rPr>
          <w:rFonts w:eastAsia="Times New Roman"/>
          <w:lang w:val="en-GB"/>
        </w:rPr>
      </w:pPr>
      <w:bookmarkStart w:id="7" w:name="_Hlk53665621"/>
      <w:bookmarkEnd w:id="5"/>
      <w:bookmarkEnd w:id="6"/>
      <w:r>
        <w:rPr>
          <w:rFonts w:hint="eastAsia"/>
          <w:szCs w:val="21"/>
          <w:lang w:eastAsia="zh-CN"/>
        </w:rPr>
        <w:t>At</w:t>
      </w:r>
      <w:r>
        <w:rPr>
          <w:szCs w:val="21"/>
        </w:rPr>
        <w:t xml:space="preserve"> RAN2</w:t>
      </w:r>
      <w:r w:rsidR="006C01DF">
        <w:rPr>
          <w:szCs w:val="21"/>
        </w:rPr>
        <w:t>#127</w:t>
      </w:r>
      <w:r w:rsidR="00A62F9B">
        <w:rPr>
          <w:rFonts w:hint="eastAsia"/>
          <w:szCs w:val="21"/>
          <w:lang w:eastAsia="zh-CN"/>
        </w:rPr>
        <w:t>bis</w:t>
      </w:r>
      <w:r w:rsidR="006C01DF">
        <w:rPr>
          <w:szCs w:val="21"/>
        </w:rPr>
        <w:t xml:space="preserve"> meeting, </w:t>
      </w:r>
      <w:r w:rsidR="006C01DF" w:rsidRPr="006C01DF">
        <w:rPr>
          <w:szCs w:val="21"/>
        </w:rPr>
        <w:t xml:space="preserve">RAN2 </w:t>
      </w:r>
      <w:r w:rsidR="00A62F9B">
        <w:rPr>
          <w:rFonts w:hint="eastAsia"/>
          <w:szCs w:val="21"/>
          <w:lang w:eastAsia="zh-CN"/>
        </w:rPr>
        <w:t>a</w:t>
      </w:r>
      <w:r w:rsidR="00A62F9B">
        <w:rPr>
          <w:szCs w:val="21"/>
        </w:rPr>
        <w:t>chieved the following agreements</w:t>
      </w:r>
      <w:r w:rsidR="00305289">
        <w:rPr>
          <w:szCs w:val="21"/>
        </w:rPr>
        <w:t xml:space="preserve"> regarding </w:t>
      </w:r>
      <w:r w:rsidR="00305289" w:rsidRPr="00305289">
        <w:rPr>
          <w:szCs w:val="21"/>
        </w:rPr>
        <w:t xml:space="preserve">LCM for UE-sided model for Beam </w:t>
      </w:r>
      <w:r w:rsidR="00305289">
        <w:rPr>
          <w:szCs w:val="21"/>
        </w:rPr>
        <w:t>m</w:t>
      </w:r>
      <w:r w:rsidR="00305289" w:rsidRPr="00305289">
        <w:rPr>
          <w:szCs w:val="21"/>
        </w:rPr>
        <w:t>anagement</w:t>
      </w:r>
      <w:r w:rsidR="00305289">
        <w:rPr>
          <w:szCs w:val="21"/>
        </w:rPr>
        <w:t xml:space="preserve"> use case</w:t>
      </w:r>
      <w:r w:rsidR="00A62F9B">
        <w:rPr>
          <w:rFonts w:eastAsia="Times New Roman"/>
          <w:lang w:val="en-GB"/>
        </w:rPr>
        <w:t>:</w:t>
      </w:r>
    </w:p>
    <w:p w14:paraId="3F1DB74E" w14:textId="77777777" w:rsidR="00A62F9B" w:rsidRDefault="00A62F9B" w:rsidP="00BC4F3C">
      <w:pPr>
        <w:pStyle w:val="Doc-text2"/>
        <w:pBdr>
          <w:top w:val="single" w:sz="4" w:space="1" w:color="auto"/>
          <w:left w:val="single" w:sz="4" w:space="4" w:color="auto"/>
          <w:bottom w:val="single" w:sz="4" w:space="1" w:color="auto"/>
          <w:right w:val="single" w:sz="4" w:space="4" w:color="auto"/>
        </w:pBdr>
        <w:ind w:leftChars="129" w:left="621"/>
        <w:rPr>
          <w:b/>
          <w:bCs/>
          <w:lang w:eastAsia="zh-CN"/>
        </w:rPr>
      </w:pPr>
      <w:r>
        <w:rPr>
          <w:b/>
          <w:bCs/>
          <w:lang w:eastAsia="zh-CN"/>
        </w:rPr>
        <w:t>Agreements for BM</w:t>
      </w:r>
    </w:p>
    <w:p w14:paraId="720DF8D9" w14:textId="77777777" w:rsidR="00A62F9B" w:rsidRDefault="00A62F9B" w:rsidP="00BC4F3C">
      <w:pPr>
        <w:pStyle w:val="Agreement"/>
        <w:numPr>
          <w:ilvl w:val="0"/>
          <w:numId w:val="43"/>
        </w:numPr>
        <w:pBdr>
          <w:top w:val="single" w:sz="4" w:space="1" w:color="auto"/>
          <w:left w:val="single" w:sz="4" w:space="4" w:color="auto"/>
          <w:bottom w:val="single" w:sz="4" w:space="1" w:color="auto"/>
          <w:right w:val="single" w:sz="4" w:space="4" w:color="auto"/>
        </w:pBdr>
        <w:tabs>
          <w:tab w:val="clear" w:pos="1619"/>
          <w:tab w:val="left" w:pos="420"/>
        </w:tabs>
        <w:ind w:leftChars="129" w:left="618"/>
        <w:rPr>
          <w:b w:val="0"/>
          <w:lang w:eastAsia="zh-CN"/>
        </w:rPr>
      </w:pPr>
      <w:r>
        <w:rPr>
          <w:b w:val="0"/>
          <w:lang w:eastAsia="zh-CN"/>
        </w:rPr>
        <w:t xml:space="preserve">UAI is supported and </w:t>
      </w:r>
      <w:proofErr w:type="spellStart"/>
      <w:r>
        <w:rPr>
          <w:b w:val="0"/>
          <w:lang w:eastAsia="zh-CN"/>
        </w:rPr>
        <w:t>RRCReconfigurationComplete</w:t>
      </w:r>
      <w:proofErr w:type="spellEnd"/>
      <w:r>
        <w:rPr>
          <w:b w:val="0"/>
          <w:lang w:eastAsia="zh-CN"/>
        </w:rPr>
        <w:t xml:space="preserve"> message can be used to report applicable functionality.   We should aim to align the design on how the applicable functionality are signaled.   </w:t>
      </w:r>
      <w:r w:rsidRPr="00BC4F3C">
        <w:rPr>
          <w:b w:val="0"/>
          <w:highlight w:val="yellow"/>
          <w:lang w:eastAsia="zh-CN"/>
        </w:rPr>
        <w:t>FFS on the applicability reporting content</w:t>
      </w:r>
      <w:r>
        <w:rPr>
          <w:b w:val="0"/>
          <w:lang w:eastAsia="zh-CN"/>
        </w:rPr>
        <w:t xml:space="preserve">.   </w:t>
      </w:r>
    </w:p>
    <w:p w14:paraId="1D108655" w14:textId="77777777" w:rsidR="00A62F9B" w:rsidRDefault="00A62F9B" w:rsidP="00BC4F3C">
      <w:pPr>
        <w:pStyle w:val="Agreement"/>
        <w:numPr>
          <w:ilvl w:val="0"/>
          <w:numId w:val="43"/>
        </w:numPr>
        <w:pBdr>
          <w:top w:val="single" w:sz="4" w:space="1" w:color="auto"/>
          <w:left w:val="single" w:sz="4" w:space="4" w:color="auto"/>
          <w:bottom w:val="single" w:sz="4" w:space="1" w:color="auto"/>
          <w:right w:val="single" w:sz="4" w:space="4" w:color="auto"/>
        </w:pBdr>
        <w:tabs>
          <w:tab w:val="clear" w:pos="1619"/>
          <w:tab w:val="left" w:pos="420"/>
        </w:tabs>
        <w:ind w:leftChars="129" w:left="618"/>
        <w:rPr>
          <w:lang w:eastAsia="zh-CN"/>
        </w:rPr>
      </w:pPr>
      <w:r>
        <w:rPr>
          <w:b w:val="0"/>
          <w:lang w:eastAsia="zh-CN"/>
        </w:rPr>
        <w:t xml:space="preserve">FFS if inference configuration can be </w:t>
      </w:r>
      <w:proofErr w:type="spellStart"/>
      <w:r>
        <w:rPr>
          <w:b w:val="0"/>
          <w:lang w:eastAsia="zh-CN"/>
        </w:rPr>
        <w:t>signalled</w:t>
      </w:r>
      <w:proofErr w:type="spellEnd"/>
      <w:r>
        <w:rPr>
          <w:b w:val="0"/>
          <w:lang w:eastAsia="zh-CN"/>
        </w:rPr>
        <w:t xml:space="preserve"> in step3.  </w:t>
      </w:r>
    </w:p>
    <w:p w14:paraId="1DFE3B21" w14:textId="77777777" w:rsidR="00A62F9B" w:rsidRDefault="00A62F9B" w:rsidP="00BC4F3C">
      <w:pPr>
        <w:pStyle w:val="Agreement"/>
        <w:numPr>
          <w:ilvl w:val="0"/>
          <w:numId w:val="43"/>
        </w:numPr>
        <w:pBdr>
          <w:top w:val="single" w:sz="4" w:space="1" w:color="auto"/>
          <w:left w:val="single" w:sz="4" w:space="4" w:color="auto"/>
          <w:bottom w:val="single" w:sz="4" w:space="1" w:color="auto"/>
          <w:right w:val="single" w:sz="4" w:space="4" w:color="auto"/>
        </w:pBdr>
        <w:tabs>
          <w:tab w:val="clear" w:pos="1619"/>
          <w:tab w:val="left" w:pos="420"/>
        </w:tabs>
        <w:ind w:leftChars="129" w:left="618"/>
        <w:rPr>
          <w:b w:val="0"/>
          <w:lang w:eastAsia="zh-CN"/>
        </w:rPr>
      </w:pPr>
      <w:r>
        <w:rPr>
          <w:b w:val="0"/>
          <w:lang w:eastAsia="zh-CN"/>
        </w:rPr>
        <w:t xml:space="preserve">UE can report to the network when an applicable AI functionality becomes non-applicable.  </w:t>
      </w:r>
      <w:r w:rsidRPr="00BC4F3C">
        <w:rPr>
          <w:b w:val="0"/>
          <w:highlight w:val="yellow"/>
          <w:lang w:eastAsia="zh-CN"/>
        </w:rPr>
        <w:t>FFS how this is signaled (e.g. explicitly/implicitly).  Consider different scenarios, whether it is regarding an active functionality)</w:t>
      </w:r>
    </w:p>
    <w:p w14:paraId="3D2F2912" w14:textId="77777777" w:rsidR="00A62F9B" w:rsidRDefault="00A62F9B" w:rsidP="00BC4F3C">
      <w:pPr>
        <w:pStyle w:val="Agreement"/>
        <w:numPr>
          <w:ilvl w:val="0"/>
          <w:numId w:val="43"/>
        </w:numPr>
        <w:pBdr>
          <w:top w:val="single" w:sz="4" w:space="1" w:color="auto"/>
          <w:left w:val="single" w:sz="4" w:space="4" w:color="auto"/>
          <w:bottom w:val="single" w:sz="4" w:space="1" w:color="auto"/>
          <w:right w:val="single" w:sz="4" w:space="4" w:color="auto"/>
        </w:pBdr>
        <w:tabs>
          <w:tab w:val="clear" w:pos="1619"/>
          <w:tab w:val="left" w:pos="420"/>
        </w:tabs>
        <w:ind w:leftChars="129" w:left="618"/>
        <w:rPr>
          <w:b w:val="0"/>
          <w:lang w:eastAsia="zh-CN"/>
        </w:rPr>
      </w:pPr>
      <w:r>
        <w:rPr>
          <w:b w:val="0"/>
          <w:lang w:eastAsia="zh-CN"/>
        </w:rPr>
        <w:t xml:space="preserve">Data collection initiation and configuration for data collection is under network control.  </w:t>
      </w:r>
      <w:r w:rsidRPr="00BC4F3C">
        <w:rPr>
          <w:b w:val="0"/>
          <w:highlight w:val="yellow"/>
          <w:lang w:eastAsia="zh-CN"/>
        </w:rPr>
        <w:t>FFS how the NW determines whether data collection should be initiated (e.g. via UE requests (UE directly or UE server)</w:t>
      </w:r>
      <w:r>
        <w:rPr>
          <w:b w:val="0"/>
          <w:lang w:eastAsia="zh-CN"/>
        </w:rPr>
        <w:t xml:space="preserve">  </w:t>
      </w:r>
    </w:p>
    <w:p w14:paraId="55476756" w14:textId="77777777" w:rsidR="00A62F9B" w:rsidRDefault="00A62F9B" w:rsidP="00BC4F3C">
      <w:pPr>
        <w:pStyle w:val="Agreement"/>
        <w:numPr>
          <w:ilvl w:val="0"/>
          <w:numId w:val="43"/>
        </w:numPr>
        <w:pBdr>
          <w:top w:val="single" w:sz="4" w:space="1" w:color="auto"/>
          <w:left w:val="single" w:sz="4" w:space="4" w:color="auto"/>
          <w:bottom w:val="single" w:sz="4" w:space="1" w:color="auto"/>
          <w:right w:val="single" w:sz="4" w:space="4" w:color="auto"/>
        </w:pBdr>
        <w:tabs>
          <w:tab w:val="clear" w:pos="1619"/>
          <w:tab w:val="left" w:pos="420"/>
        </w:tabs>
        <w:ind w:leftChars="129" w:left="618"/>
        <w:rPr>
          <w:b w:val="0"/>
          <w:lang w:eastAsia="zh-CN"/>
        </w:rPr>
      </w:pPr>
      <w:r>
        <w:rPr>
          <w:b w:val="0"/>
          <w:lang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2F54393E" w14:textId="77777777" w:rsidR="00A62F9B" w:rsidRDefault="00A62F9B" w:rsidP="00BC4F3C">
      <w:pPr>
        <w:pStyle w:val="Agreement"/>
        <w:numPr>
          <w:ilvl w:val="0"/>
          <w:numId w:val="43"/>
        </w:numPr>
        <w:pBdr>
          <w:top w:val="single" w:sz="4" w:space="1" w:color="auto"/>
          <w:left w:val="single" w:sz="4" w:space="4" w:color="auto"/>
          <w:bottom w:val="single" w:sz="4" w:space="1" w:color="auto"/>
          <w:right w:val="single" w:sz="4" w:space="4" w:color="auto"/>
        </w:pBdr>
        <w:tabs>
          <w:tab w:val="clear" w:pos="1619"/>
          <w:tab w:val="left" w:pos="420"/>
        </w:tabs>
        <w:ind w:leftChars="129" w:left="618"/>
        <w:rPr>
          <w:b w:val="0"/>
          <w:lang w:eastAsia="zh-CN"/>
        </w:rPr>
      </w:pPr>
      <w:r>
        <w:rPr>
          <w:b w:val="0"/>
          <w:lang w:eastAsia="zh-CN"/>
        </w:rPr>
        <w:t>For now, RAN2 will not define terminology specific to the activation or deactivation for AI/ML models.  Can come back to this discussion later.</w:t>
      </w:r>
    </w:p>
    <w:p w14:paraId="4A491705" w14:textId="66D3F7AA" w:rsidR="00C23C06" w:rsidRDefault="00C23C06" w:rsidP="00FB4746">
      <w:pPr>
        <w:spacing w:beforeLines="50" w:before="120" w:after="120" w:line="260" w:lineRule="exact"/>
        <w:jc w:val="both"/>
        <w:rPr>
          <w:szCs w:val="21"/>
        </w:rPr>
      </w:pPr>
      <w:r w:rsidRPr="005A59C1">
        <w:rPr>
          <w:szCs w:val="21"/>
        </w:rPr>
        <w:t xml:space="preserve">In this contribution, we will </w:t>
      </w:r>
      <w:r w:rsidR="00F15F63">
        <w:rPr>
          <w:szCs w:val="21"/>
        </w:rPr>
        <w:t xml:space="preserve">further </w:t>
      </w:r>
      <w:r>
        <w:rPr>
          <w:szCs w:val="21"/>
        </w:rPr>
        <w:t>discuss</w:t>
      </w:r>
      <w:r w:rsidRPr="005A59C1">
        <w:rPr>
          <w:szCs w:val="21"/>
        </w:rPr>
        <w:t xml:space="preserve"> </w:t>
      </w:r>
      <w:r>
        <w:rPr>
          <w:szCs w:val="21"/>
        </w:rPr>
        <w:t>the f</w:t>
      </w:r>
      <w:r w:rsidRPr="00C67EDD">
        <w:rPr>
          <w:szCs w:val="21"/>
        </w:rPr>
        <w:t>unctionality</w:t>
      </w:r>
      <w:r>
        <w:rPr>
          <w:szCs w:val="21"/>
        </w:rPr>
        <w:t>-</w:t>
      </w:r>
      <w:r w:rsidRPr="00C67EDD">
        <w:rPr>
          <w:szCs w:val="21"/>
        </w:rPr>
        <w:t xml:space="preserve">based LCM </w:t>
      </w:r>
      <w:r>
        <w:rPr>
          <w:szCs w:val="21"/>
        </w:rPr>
        <w:t>for UE-sided model</w:t>
      </w:r>
      <w:r w:rsidRPr="005A59C1">
        <w:rPr>
          <w:szCs w:val="21"/>
        </w:rPr>
        <w:t xml:space="preserve"> </w:t>
      </w:r>
      <w:r>
        <w:rPr>
          <w:szCs w:val="21"/>
        </w:rPr>
        <w:t xml:space="preserve">for </w:t>
      </w:r>
      <w:r w:rsidRPr="00F3223D">
        <w:rPr>
          <w:szCs w:val="21"/>
        </w:rPr>
        <w:t>Beam Management use case</w:t>
      </w:r>
      <w:r>
        <w:rPr>
          <w:szCs w:val="21"/>
        </w:rPr>
        <w:t xml:space="preserve">, </w:t>
      </w:r>
      <w:r w:rsidRPr="00040D42">
        <w:rPr>
          <w:szCs w:val="21"/>
        </w:rPr>
        <w:t>focus</w:t>
      </w:r>
      <w:r w:rsidR="00626BA4">
        <w:rPr>
          <w:szCs w:val="21"/>
        </w:rPr>
        <w:t>ing</w:t>
      </w:r>
      <w:r w:rsidRPr="00040D42">
        <w:rPr>
          <w:szCs w:val="21"/>
        </w:rPr>
        <w:t xml:space="preserve"> on issues not dependent on RAN1</w:t>
      </w:r>
      <w:r w:rsidR="005B1019">
        <w:rPr>
          <w:szCs w:val="21"/>
        </w:rPr>
        <w:t xml:space="preserve"> reply</w:t>
      </w:r>
      <w:r w:rsidRPr="005A59C1">
        <w:rPr>
          <w:szCs w:val="21"/>
        </w:rPr>
        <w:t>.</w:t>
      </w:r>
    </w:p>
    <w:bookmarkEnd w:id="7"/>
    <w:p w14:paraId="63B3B3DF" w14:textId="17750AE5" w:rsidR="00DA6C9D"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64A1A1B7" w14:textId="20981DE3" w:rsidR="009F4779" w:rsidRPr="005A59C1" w:rsidRDefault="009F4779" w:rsidP="009F4779">
      <w:pPr>
        <w:pStyle w:val="Heading2"/>
        <w:numPr>
          <w:ilvl w:val="0"/>
          <w:numId w:val="0"/>
        </w:numPr>
        <w:rPr>
          <w:b w:val="0"/>
          <w:lang w:val="en-US"/>
        </w:rPr>
      </w:pPr>
      <w:r w:rsidRPr="005A59C1">
        <w:rPr>
          <w:b w:val="0"/>
          <w:lang w:val="en-US"/>
        </w:rPr>
        <w:t>2.</w:t>
      </w:r>
      <w:r>
        <w:rPr>
          <w:b w:val="0"/>
          <w:lang w:val="en-US"/>
        </w:rPr>
        <w:t>1</w:t>
      </w:r>
      <w:r w:rsidRPr="005A59C1">
        <w:rPr>
          <w:b w:val="0"/>
          <w:lang w:val="en-US"/>
        </w:rPr>
        <w:t xml:space="preserve"> </w:t>
      </w:r>
      <w:r>
        <w:rPr>
          <w:b w:val="0"/>
          <w:lang w:val="en-US"/>
        </w:rPr>
        <w:t>A</w:t>
      </w:r>
      <w:r w:rsidRPr="009F4779">
        <w:rPr>
          <w:b w:val="0"/>
          <w:lang w:val="en-US"/>
        </w:rPr>
        <w:t>pplicability reporting</w:t>
      </w:r>
    </w:p>
    <w:p w14:paraId="26892970" w14:textId="50B77E5F" w:rsidR="00133AE2" w:rsidRDefault="00D13463" w:rsidP="00394E32">
      <w:pPr>
        <w:spacing w:after="120" w:line="260" w:lineRule="exact"/>
        <w:jc w:val="both"/>
        <w:rPr>
          <w:lang w:eastAsia="zh-CN"/>
        </w:rPr>
      </w:pPr>
      <w:r>
        <w:rPr>
          <w:lang w:eastAsia="zh-CN"/>
        </w:rPr>
        <w:t xml:space="preserve">The </w:t>
      </w:r>
      <w:r w:rsidR="007B5251">
        <w:rPr>
          <w:lang w:eastAsia="zh-CN"/>
        </w:rPr>
        <w:t>applicability reporting</w:t>
      </w:r>
      <w:r>
        <w:rPr>
          <w:lang w:eastAsia="zh-CN"/>
        </w:rPr>
        <w:t xml:space="preserve"> content is FFS</w:t>
      </w:r>
      <w:r w:rsidR="00A70CDF">
        <w:rPr>
          <w:rFonts w:hint="eastAsia"/>
          <w:lang w:eastAsia="zh-CN"/>
        </w:rPr>
        <w:t>.</w:t>
      </w:r>
      <w:r w:rsidR="007B5251">
        <w:rPr>
          <w:lang w:eastAsia="zh-CN"/>
        </w:rPr>
        <w:t xml:space="preserve"> </w:t>
      </w:r>
      <w:r w:rsidR="00A70CDF">
        <w:rPr>
          <w:lang w:eastAsia="zh-CN"/>
        </w:rPr>
        <w:t>O</w:t>
      </w:r>
      <w:r w:rsidR="007B5251">
        <w:rPr>
          <w:lang w:eastAsia="zh-CN"/>
        </w:rPr>
        <w:t xml:space="preserve">ne issue is whether to support the reporting of </w:t>
      </w:r>
      <w:r w:rsidR="007B5251" w:rsidRPr="007B5251">
        <w:rPr>
          <w:lang w:eastAsia="zh-CN"/>
        </w:rPr>
        <w:t>neighbouring cell’s applicability</w:t>
      </w:r>
      <w:r w:rsidR="007B5251">
        <w:rPr>
          <w:lang w:eastAsia="zh-CN"/>
        </w:rPr>
        <w:t xml:space="preserve">. If supporting the </w:t>
      </w:r>
      <w:r w:rsidR="006D6FCF" w:rsidRPr="006D6FCF">
        <w:rPr>
          <w:lang w:eastAsia="zh-CN"/>
        </w:rPr>
        <w:t>reporting of neighbouring cell’s applicability</w:t>
      </w:r>
      <w:r w:rsidR="006D6FCF">
        <w:rPr>
          <w:lang w:eastAsia="zh-CN"/>
        </w:rPr>
        <w:t>, target gNB can get the applicable functionalities for target cell in handover preparation message and configure</w:t>
      </w:r>
      <w:r w:rsidR="006D6FCF">
        <w:rPr>
          <w:rFonts w:hint="eastAsia"/>
          <w:lang w:eastAsia="zh-CN"/>
        </w:rPr>
        <w:t>/</w:t>
      </w:r>
      <w:r w:rsidR="006D6FCF">
        <w:rPr>
          <w:lang w:eastAsia="zh-CN"/>
        </w:rPr>
        <w:t>activate the functionality in the handover command message.</w:t>
      </w:r>
      <w:r w:rsidR="00E509DF">
        <w:rPr>
          <w:lang w:eastAsia="zh-CN"/>
        </w:rPr>
        <w:t xml:space="preserve"> The </w:t>
      </w:r>
      <w:r w:rsidR="00543267">
        <w:rPr>
          <w:lang w:eastAsia="zh-CN"/>
        </w:rPr>
        <w:t>signaling procedure may be as below:</w:t>
      </w:r>
    </w:p>
    <w:p w14:paraId="73F039DB" w14:textId="583C913F" w:rsidR="00133AE2" w:rsidRDefault="00D91982" w:rsidP="00BC4F3C">
      <w:pPr>
        <w:jc w:val="center"/>
        <w:rPr>
          <w:lang w:eastAsia="zh-CN"/>
        </w:rPr>
      </w:pPr>
      <w:r>
        <w:object w:dxaOrig="11353" w:dyaOrig="8052" w14:anchorId="6F0F1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261.7pt" o:ole="">
            <v:imagedata r:id="rId12" o:title=""/>
          </v:shape>
          <o:OLEObject Type="Embed" ProgID="Visio.Drawing.15" ShapeID="_x0000_i1025" DrawAspect="Content" ObjectID="_1792590420" r:id="rId13"/>
        </w:object>
      </w:r>
    </w:p>
    <w:p w14:paraId="08996303" w14:textId="14569C41" w:rsidR="00133AE2" w:rsidRPr="002F6DA9" w:rsidRDefault="00133AE2" w:rsidP="00133AE2">
      <w:pPr>
        <w:pStyle w:val="TF"/>
        <w:rPr>
          <w:rFonts w:ascii="Times New Roman" w:eastAsia="MS Mincho" w:hAnsi="Times New Roman"/>
          <w:lang w:val="en-GB"/>
        </w:rPr>
      </w:pPr>
      <w:r w:rsidRPr="002F6DA9">
        <w:rPr>
          <w:rFonts w:ascii="Times New Roman" w:eastAsia="MS Mincho" w:hAnsi="Times New Roman"/>
          <w:lang w:val="en-GB"/>
        </w:rPr>
        <w:t>Figure</w:t>
      </w:r>
      <w:r w:rsidRPr="002F6DA9">
        <w:rPr>
          <w:rFonts w:ascii="Times New Roman" w:eastAsiaTheme="minorEastAsia" w:hAnsi="Times New Roman"/>
          <w:lang w:val="en-GB" w:eastAsia="zh-CN"/>
        </w:rPr>
        <w:t xml:space="preserve"> </w:t>
      </w:r>
      <w:r>
        <w:rPr>
          <w:rFonts w:ascii="Times New Roman" w:eastAsiaTheme="minorEastAsia" w:hAnsi="Times New Roman"/>
          <w:lang w:val="en-GB" w:eastAsia="zh-CN"/>
        </w:rPr>
        <w:t>1</w:t>
      </w:r>
      <w:r w:rsidRPr="002F6DA9">
        <w:rPr>
          <w:rFonts w:ascii="Times New Roman" w:eastAsia="MS Mincho" w:hAnsi="Times New Roman"/>
          <w:lang w:val="en-GB"/>
        </w:rPr>
        <w:t xml:space="preserve">: </w:t>
      </w:r>
      <w:r w:rsidRPr="00133AE2">
        <w:rPr>
          <w:rFonts w:ascii="Times New Roman" w:eastAsia="MS Mincho" w:hAnsi="Times New Roman"/>
          <w:lang w:val="en-GB"/>
        </w:rPr>
        <w:t>the reporting of neighbouring cell’s applicability</w:t>
      </w:r>
    </w:p>
    <w:p w14:paraId="26CBC77A" w14:textId="178FB54A" w:rsidR="00885E18" w:rsidRDefault="0071521A" w:rsidP="00394E32">
      <w:pPr>
        <w:spacing w:after="120" w:line="260" w:lineRule="exact"/>
        <w:jc w:val="both"/>
        <w:rPr>
          <w:lang w:eastAsia="zh-CN"/>
        </w:rPr>
      </w:pPr>
      <w:r>
        <w:rPr>
          <w:lang w:eastAsia="zh-CN"/>
        </w:rPr>
        <w:t>One question is when source gNB performs step</w:t>
      </w:r>
      <w:r w:rsidR="00D13463">
        <w:rPr>
          <w:lang w:eastAsia="zh-CN"/>
        </w:rPr>
        <w:t>s</w:t>
      </w:r>
      <w:r>
        <w:rPr>
          <w:lang w:eastAsia="zh-CN"/>
        </w:rPr>
        <w:t xml:space="preserve"> 2</w:t>
      </w:r>
      <w:r w:rsidR="00F50F6A">
        <w:rPr>
          <w:lang w:eastAsia="zh-CN"/>
        </w:rPr>
        <w:t>/3</w:t>
      </w:r>
      <w:r>
        <w:rPr>
          <w:lang w:eastAsia="zh-CN"/>
        </w:rPr>
        <w:t xml:space="preserve"> in </w:t>
      </w:r>
      <w:r w:rsidRPr="00394E32">
        <w:rPr>
          <w:b/>
          <w:lang w:eastAsia="zh-CN"/>
        </w:rPr>
        <w:t>Figure 1</w:t>
      </w:r>
      <w:r>
        <w:rPr>
          <w:lang w:eastAsia="zh-CN"/>
        </w:rPr>
        <w:t xml:space="preserve"> to obtain the </w:t>
      </w:r>
      <w:r w:rsidRPr="0071521A">
        <w:rPr>
          <w:lang w:eastAsia="zh-CN"/>
        </w:rPr>
        <w:t>applicability reporting for target cell</w:t>
      </w:r>
      <w:r>
        <w:rPr>
          <w:lang w:eastAsia="zh-CN"/>
        </w:rPr>
        <w:t xml:space="preserve">. If it is after </w:t>
      </w:r>
      <w:r w:rsidR="00F50F6A">
        <w:rPr>
          <w:lang w:eastAsia="zh-CN"/>
        </w:rPr>
        <w:t>handover decision</w:t>
      </w:r>
      <w:r>
        <w:rPr>
          <w:lang w:eastAsia="zh-CN"/>
        </w:rPr>
        <w:t>, the handover failure rate</w:t>
      </w:r>
      <w:r w:rsidR="00D13463">
        <w:rPr>
          <w:lang w:eastAsia="zh-CN"/>
        </w:rPr>
        <w:t xml:space="preserve"> will increase since it will extend the duration of handover preparation</w:t>
      </w:r>
      <w:r>
        <w:rPr>
          <w:lang w:eastAsia="zh-CN"/>
        </w:rPr>
        <w:t xml:space="preserve">, which is undesirable. </w:t>
      </w:r>
    </w:p>
    <w:p w14:paraId="6C6E2B34" w14:textId="2E5B7701" w:rsidR="005A5C2D" w:rsidRPr="00835E2C" w:rsidRDefault="005A5C2D" w:rsidP="00835E2C">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rPr>
          <w:b w:val="0"/>
          <w:lang w:val="en-GB"/>
        </w:rPr>
      </w:pPr>
      <w:r w:rsidRPr="00835E2C">
        <w:rPr>
          <w:color w:val="auto"/>
          <w:szCs w:val="20"/>
          <w:lang w:val="en-GB"/>
        </w:rPr>
        <w:t>If reporting of neighbouring cell’s applicability</w:t>
      </w:r>
      <w:r w:rsidR="00C20ED4" w:rsidRPr="00835E2C">
        <w:rPr>
          <w:color w:val="auto"/>
          <w:szCs w:val="20"/>
          <w:lang w:val="en-GB"/>
        </w:rPr>
        <w:t xml:space="preserve"> is supported and is reported after handover decision</w:t>
      </w:r>
      <w:r w:rsidRPr="00835E2C">
        <w:rPr>
          <w:color w:val="auto"/>
          <w:szCs w:val="20"/>
          <w:lang w:val="en-GB"/>
        </w:rPr>
        <w:t xml:space="preserve">, </w:t>
      </w:r>
      <w:r w:rsidR="00C20ED4" w:rsidRPr="00835E2C">
        <w:rPr>
          <w:color w:val="auto"/>
          <w:szCs w:val="20"/>
          <w:lang w:val="en-GB"/>
        </w:rPr>
        <w:t>the handover failure rate will increase</w:t>
      </w:r>
      <w:r w:rsidRPr="00835E2C">
        <w:rPr>
          <w:color w:val="auto"/>
          <w:szCs w:val="20"/>
          <w:lang w:val="en-GB"/>
        </w:rPr>
        <w:t>.</w:t>
      </w:r>
      <w:r w:rsidR="00EB6864" w:rsidRPr="00835E2C">
        <w:rPr>
          <w:color w:val="auto"/>
          <w:szCs w:val="20"/>
          <w:lang w:val="en-GB"/>
        </w:rPr>
        <w:t xml:space="preserve"> </w:t>
      </w:r>
    </w:p>
    <w:p w14:paraId="73D1A127" w14:textId="34ACAC77" w:rsidR="00885E18" w:rsidRDefault="00F50F6A" w:rsidP="00835E2C">
      <w:pPr>
        <w:spacing w:after="120" w:line="260" w:lineRule="exact"/>
        <w:jc w:val="both"/>
        <w:rPr>
          <w:lang w:eastAsia="zh-CN"/>
        </w:rPr>
      </w:pPr>
      <w:r>
        <w:rPr>
          <w:lang w:eastAsia="zh-CN"/>
        </w:rPr>
        <w:t xml:space="preserve">If source gNB obtains the </w:t>
      </w:r>
      <w:r w:rsidRPr="00F50F6A">
        <w:rPr>
          <w:lang w:eastAsia="zh-CN"/>
        </w:rPr>
        <w:t>applicability reporting for target cell</w:t>
      </w:r>
      <w:r>
        <w:rPr>
          <w:lang w:eastAsia="zh-CN"/>
        </w:rPr>
        <w:t xml:space="preserve"> before handover decision, source gNB (i.e., serving gNB) </w:t>
      </w:r>
      <w:r w:rsidR="00E90418">
        <w:rPr>
          <w:lang w:eastAsia="zh-CN"/>
        </w:rPr>
        <w:t xml:space="preserve">may </w:t>
      </w:r>
      <w:r>
        <w:rPr>
          <w:lang w:eastAsia="zh-CN"/>
        </w:rPr>
        <w:t xml:space="preserve">not know in advance which neighbouring cell will be target cell. Therefore, </w:t>
      </w:r>
      <w:r w:rsidR="00D13463" w:rsidRPr="00133AE2">
        <w:rPr>
          <w:rFonts w:eastAsia="MS Mincho"/>
          <w:lang w:val="en-GB"/>
        </w:rPr>
        <w:t>applicability</w:t>
      </w:r>
      <w:r w:rsidR="00D13463">
        <w:rPr>
          <w:lang w:eastAsia="zh-CN"/>
        </w:rPr>
        <w:t xml:space="preserve"> status associated with </w:t>
      </w:r>
      <w:r w:rsidR="00CB10B6">
        <w:rPr>
          <w:lang w:eastAsia="zh-CN"/>
        </w:rPr>
        <w:t xml:space="preserve">all the potential target cells </w:t>
      </w:r>
      <w:r>
        <w:rPr>
          <w:lang w:eastAsia="zh-CN"/>
        </w:rPr>
        <w:t xml:space="preserve">needs to be reported. It is likely that there are </w:t>
      </w:r>
      <w:r w:rsidR="00E90418">
        <w:rPr>
          <w:lang w:eastAsia="zh-CN"/>
        </w:rPr>
        <w:t>multiple</w:t>
      </w:r>
      <w:r w:rsidRPr="00F50F6A">
        <w:rPr>
          <w:lang w:eastAsia="zh-CN"/>
        </w:rPr>
        <w:t xml:space="preserve"> </w:t>
      </w:r>
      <w:r w:rsidR="00CB10B6">
        <w:rPr>
          <w:lang w:eastAsia="zh-CN"/>
        </w:rPr>
        <w:t>potential target</w:t>
      </w:r>
      <w:r w:rsidR="00CB10B6" w:rsidDel="00CB10B6">
        <w:rPr>
          <w:lang w:eastAsia="zh-CN"/>
        </w:rPr>
        <w:t xml:space="preserve"> </w:t>
      </w:r>
      <w:r>
        <w:rPr>
          <w:lang w:eastAsia="zh-CN"/>
        </w:rPr>
        <w:t xml:space="preserve">cells around source cell. It will greatly increase the signaling overhead for </w:t>
      </w:r>
      <w:r w:rsidR="00D13463">
        <w:rPr>
          <w:lang w:eastAsia="zh-CN"/>
        </w:rPr>
        <w:t xml:space="preserve">applicability </w:t>
      </w:r>
      <w:r>
        <w:rPr>
          <w:lang w:eastAsia="zh-CN"/>
        </w:rPr>
        <w:t>reporting. Moreover, the UE</w:t>
      </w:r>
      <w:r>
        <w:rPr>
          <w:rFonts w:hint="eastAsia"/>
          <w:lang w:eastAsia="zh-CN"/>
        </w:rPr>
        <w:t>/</w:t>
      </w:r>
      <w:r>
        <w:rPr>
          <w:lang w:eastAsia="zh-CN"/>
        </w:rPr>
        <w:t xml:space="preserve">gNB needs to maintain the </w:t>
      </w:r>
      <w:r w:rsidR="00EB6864">
        <w:rPr>
          <w:lang w:eastAsia="zh-CN"/>
        </w:rPr>
        <w:t xml:space="preserve">updated applicability status for all the cells. It means that if the </w:t>
      </w:r>
      <w:r w:rsidR="00EB6864" w:rsidRPr="00EB6864">
        <w:rPr>
          <w:lang w:eastAsia="zh-CN"/>
        </w:rPr>
        <w:t xml:space="preserve">applicability </w:t>
      </w:r>
      <w:r w:rsidR="00EB6864">
        <w:rPr>
          <w:lang w:eastAsia="zh-CN"/>
        </w:rPr>
        <w:t xml:space="preserve">status </w:t>
      </w:r>
      <w:r w:rsidR="00EB6864" w:rsidRPr="00EB6864">
        <w:rPr>
          <w:lang w:eastAsia="zh-CN"/>
        </w:rPr>
        <w:t xml:space="preserve">of any functionality </w:t>
      </w:r>
      <w:r w:rsidR="00EB6864">
        <w:rPr>
          <w:lang w:eastAsia="zh-CN"/>
        </w:rPr>
        <w:t xml:space="preserve">of any cell </w:t>
      </w:r>
      <w:r w:rsidR="00EB6864" w:rsidRPr="00EB6864">
        <w:rPr>
          <w:lang w:eastAsia="zh-CN"/>
        </w:rPr>
        <w:t>changes (applicable -&gt; non-applicable, or non-applicable -&gt; applicable), the UE needs to trigger the UAI message, which greatly increases the frequency of reporting.</w:t>
      </w:r>
    </w:p>
    <w:p w14:paraId="3AB3330D" w14:textId="7D97E167" w:rsidR="00A80937" w:rsidRPr="00835E2C" w:rsidRDefault="007637F3" w:rsidP="00835E2C">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rPr>
          <w:b w:val="0"/>
          <w:lang w:val="en-GB"/>
        </w:rPr>
      </w:pPr>
      <w:r w:rsidRPr="00835E2C">
        <w:rPr>
          <w:color w:val="auto"/>
          <w:szCs w:val="20"/>
          <w:lang w:val="en-GB"/>
        </w:rPr>
        <w:t>If reporting of neighbouring cell’s applicability</w:t>
      </w:r>
      <w:r w:rsidR="00974F42" w:rsidRPr="00835E2C">
        <w:rPr>
          <w:color w:val="auto"/>
          <w:szCs w:val="20"/>
          <w:lang w:val="en-GB"/>
        </w:rPr>
        <w:t xml:space="preserve"> is supported and is reported before handover decision</w:t>
      </w:r>
      <w:r w:rsidRPr="00835E2C">
        <w:rPr>
          <w:color w:val="auto"/>
          <w:szCs w:val="20"/>
          <w:lang w:val="en-GB"/>
        </w:rPr>
        <w:t>, the signaling overhead</w:t>
      </w:r>
      <w:r w:rsidR="005A5C2D" w:rsidRPr="00835E2C">
        <w:rPr>
          <w:color w:val="auto"/>
          <w:szCs w:val="20"/>
          <w:lang w:val="en-GB"/>
        </w:rPr>
        <w:t xml:space="preserve"> </w:t>
      </w:r>
      <w:r w:rsidR="00974F42" w:rsidRPr="00835E2C">
        <w:rPr>
          <w:color w:val="auto"/>
          <w:szCs w:val="20"/>
          <w:lang w:val="en-GB"/>
        </w:rPr>
        <w:t>will increase significantly</w:t>
      </w:r>
      <w:r w:rsidR="003D3D76" w:rsidRPr="00835E2C">
        <w:rPr>
          <w:color w:val="auto"/>
          <w:szCs w:val="20"/>
          <w:lang w:val="en-GB"/>
        </w:rPr>
        <w:t xml:space="preserve"> because </w:t>
      </w:r>
      <w:r w:rsidR="00CB10B6" w:rsidRPr="00835E2C">
        <w:rPr>
          <w:color w:val="auto"/>
          <w:szCs w:val="20"/>
          <w:lang w:val="en-GB"/>
        </w:rPr>
        <w:t>applicability status associated with all the potential target cells needs to be reported and the applicability status change of any functionality of any cell</w:t>
      </w:r>
      <w:r w:rsidR="00CB10B6" w:rsidRPr="00835E2C" w:rsidDel="00974F42">
        <w:rPr>
          <w:color w:val="auto"/>
          <w:szCs w:val="20"/>
          <w:lang w:val="en-GB"/>
        </w:rPr>
        <w:t xml:space="preserve"> </w:t>
      </w:r>
      <w:r w:rsidR="00CB10B6" w:rsidRPr="00835E2C">
        <w:rPr>
          <w:color w:val="auto"/>
          <w:szCs w:val="20"/>
          <w:lang w:val="en-GB"/>
        </w:rPr>
        <w:t>will trigger the UAI message</w:t>
      </w:r>
      <w:r w:rsidRPr="00835E2C">
        <w:rPr>
          <w:color w:val="auto"/>
          <w:szCs w:val="20"/>
          <w:lang w:val="en-GB"/>
        </w:rPr>
        <w:t>.</w:t>
      </w:r>
      <w:r w:rsidR="005A5C2D" w:rsidRPr="00835E2C">
        <w:rPr>
          <w:color w:val="auto"/>
          <w:szCs w:val="20"/>
          <w:lang w:val="en-GB"/>
        </w:rPr>
        <w:t xml:space="preserve"> </w:t>
      </w:r>
    </w:p>
    <w:p w14:paraId="139D1C0C" w14:textId="4B0D2D8A" w:rsidR="00A80937" w:rsidRDefault="004D3BC9" w:rsidP="00835E2C">
      <w:pPr>
        <w:spacing w:after="120" w:line="260" w:lineRule="exact"/>
        <w:jc w:val="both"/>
        <w:rPr>
          <w:lang w:eastAsia="zh-CN"/>
        </w:rPr>
      </w:pPr>
      <w:r>
        <w:rPr>
          <w:rFonts w:hint="eastAsia"/>
          <w:lang w:eastAsia="zh-CN"/>
        </w:rPr>
        <w:t>B</w:t>
      </w:r>
      <w:r>
        <w:rPr>
          <w:lang w:eastAsia="zh-CN"/>
        </w:rPr>
        <w:t xml:space="preserve">esides, </w:t>
      </w:r>
      <w:r w:rsidR="00CD3ACD">
        <w:rPr>
          <w:lang w:eastAsia="zh-CN"/>
        </w:rPr>
        <w:t>serving gNB may need to obtain the NW-sided additional conditions of neighbouring cells, e.g., associated IDs</w:t>
      </w:r>
      <w:r w:rsidR="00EF4905">
        <w:rPr>
          <w:lang w:eastAsia="zh-CN"/>
        </w:rPr>
        <w:t xml:space="preserve"> (FFS whether more information are needed depending on RAN1’s input), </w:t>
      </w:r>
      <w:r w:rsidR="00CD3ACD">
        <w:rPr>
          <w:lang w:eastAsia="zh-CN"/>
        </w:rPr>
        <w:t xml:space="preserve">from </w:t>
      </w:r>
      <w:proofErr w:type="spellStart"/>
      <w:r w:rsidR="00CD3ACD">
        <w:rPr>
          <w:lang w:eastAsia="zh-CN"/>
        </w:rPr>
        <w:t>neighbouring</w:t>
      </w:r>
      <w:proofErr w:type="spellEnd"/>
      <w:r w:rsidR="00CD3ACD">
        <w:rPr>
          <w:lang w:eastAsia="zh-CN"/>
        </w:rPr>
        <w:t xml:space="preserve"> </w:t>
      </w:r>
      <w:proofErr w:type="spellStart"/>
      <w:r w:rsidR="00CD3ACD">
        <w:rPr>
          <w:lang w:eastAsia="zh-CN"/>
        </w:rPr>
        <w:t>gNBs</w:t>
      </w:r>
      <w:proofErr w:type="spellEnd"/>
      <w:r w:rsidR="00B32B80">
        <w:rPr>
          <w:lang w:eastAsia="zh-CN"/>
        </w:rPr>
        <w:t xml:space="preserve">, which is in the scope of </w:t>
      </w:r>
      <w:r w:rsidR="00CD3ACD">
        <w:rPr>
          <w:lang w:eastAsia="zh-CN"/>
        </w:rPr>
        <w:t>RAN3.</w:t>
      </w:r>
    </w:p>
    <w:p w14:paraId="7E03B08E" w14:textId="4D0E01F4" w:rsidR="009A3CC4" w:rsidRPr="00835E2C" w:rsidRDefault="009A3CC4" w:rsidP="00835E2C">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rPr>
          <w:b w:val="0"/>
          <w:lang w:val="en-GB"/>
        </w:rPr>
      </w:pPr>
      <w:r w:rsidRPr="00835E2C">
        <w:rPr>
          <w:color w:val="auto"/>
          <w:szCs w:val="20"/>
          <w:lang w:val="en-GB"/>
        </w:rPr>
        <w:t>If reporting of neighbouring cell’s applicability</w:t>
      </w:r>
      <w:r w:rsidR="00B32B80" w:rsidRPr="00835E2C">
        <w:rPr>
          <w:color w:val="auto"/>
          <w:szCs w:val="20"/>
          <w:lang w:val="en-GB"/>
        </w:rPr>
        <w:t xml:space="preserve"> is supported</w:t>
      </w:r>
      <w:r w:rsidRPr="00835E2C">
        <w:rPr>
          <w:color w:val="auto"/>
          <w:szCs w:val="20"/>
          <w:lang w:val="en-GB"/>
        </w:rPr>
        <w:t xml:space="preserve">, </w:t>
      </w:r>
      <w:r w:rsidR="00B32B80" w:rsidRPr="00835E2C">
        <w:rPr>
          <w:color w:val="auto"/>
          <w:szCs w:val="20"/>
          <w:lang w:val="en-GB"/>
        </w:rPr>
        <w:t>extra inter-node interaction is needed, which will require RAN3 involvement.</w:t>
      </w:r>
    </w:p>
    <w:p w14:paraId="6C3A3B88" w14:textId="64D58040" w:rsidR="00AA4978" w:rsidRDefault="0021264E" w:rsidP="00835E2C">
      <w:pPr>
        <w:spacing w:after="120" w:line="260" w:lineRule="exact"/>
        <w:jc w:val="both"/>
        <w:rPr>
          <w:lang w:eastAsia="zh-CN"/>
        </w:rPr>
      </w:pPr>
      <w:r>
        <w:rPr>
          <w:lang w:eastAsia="zh-CN"/>
        </w:rPr>
        <w:t>However, even if</w:t>
      </w:r>
      <w:r w:rsidR="00EF4905" w:rsidRPr="00EF4905">
        <w:rPr>
          <w:lang w:eastAsia="zh-CN"/>
        </w:rPr>
        <w:t xml:space="preserve"> the reporting of neighbouring cell’s applicability</w:t>
      </w:r>
      <w:r>
        <w:rPr>
          <w:lang w:eastAsia="zh-CN"/>
        </w:rPr>
        <w:t xml:space="preserve"> is not supported</w:t>
      </w:r>
      <w:r w:rsidR="00EF4905" w:rsidRPr="00EF4905">
        <w:rPr>
          <w:lang w:eastAsia="zh-CN"/>
        </w:rPr>
        <w:t>,</w:t>
      </w:r>
      <w:r w:rsidR="00EF4905">
        <w:rPr>
          <w:lang w:eastAsia="zh-CN"/>
        </w:rPr>
        <w:t xml:space="preserve"> </w:t>
      </w:r>
      <w:r w:rsidRPr="0021264E">
        <w:rPr>
          <w:lang w:eastAsia="zh-CN"/>
        </w:rPr>
        <w:t xml:space="preserve">target gNB can </w:t>
      </w:r>
      <w:r w:rsidR="00123A92">
        <w:rPr>
          <w:lang w:eastAsia="zh-CN"/>
        </w:rPr>
        <w:t>still</w:t>
      </w:r>
      <w:r>
        <w:rPr>
          <w:lang w:eastAsia="zh-CN"/>
        </w:rPr>
        <w:t xml:space="preserve"> </w:t>
      </w:r>
      <w:r w:rsidRPr="0021264E">
        <w:rPr>
          <w:lang w:eastAsia="zh-CN"/>
        </w:rPr>
        <w:t xml:space="preserve">get the applicable functionalities </w:t>
      </w:r>
      <w:r>
        <w:rPr>
          <w:lang w:eastAsia="zh-CN"/>
        </w:rPr>
        <w:t xml:space="preserve">during handover. </w:t>
      </w:r>
      <w:r>
        <w:rPr>
          <w:rFonts w:hint="eastAsia"/>
          <w:lang w:eastAsia="zh-CN"/>
        </w:rPr>
        <w:t>Specifica</w:t>
      </w:r>
      <w:r>
        <w:rPr>
          <w:lang w:eastAsia="zh-CN"/>
        </w:rPr>
        <w:t xml:space="preserve">lly, </w:t>
      </w:r>
      <w:r w:rsidR="00EF4905">
        <w:rPr>
          <w:lang w:eastAsia="zh-CN"/>
        </w:rPr>
        <w:t xml:space="preserve">target gNB can includes the </w:t>
      </w:r>
      <w:proofErr w:type="spellStart"/>
      <w:r w:rsidR="00EF4905" w:rsidRPr="00BC4F3C">
        <w:rPr>
          <w:i/>
          <w:lang w:eastAsia="zh-CN"/>
        </w:rPr>
        <w:t>otherConfig</w:t>
      </w:r>
      <w:proofErr w:type="spellEnd"/>
      <w:r w:rsidR="00EF4905" w:rsidRPr="00EF4905">
        <w:rPr>
          <w:lang w:eastAsia="zh-CN"/>
        </w:rPr>
        <w:t xml:space="preserve"> IE in handover command</w:t>
      </w:r>
      <w:r w:rsidR="00EF4905">
        <w:rPr>
          <w:lang w:eastAsia="zh-CN"/>
        </w:rPr>
        <w:t xml:space="preserve"> message</w:t>
      </w:r>
      <w:r w:rsidR="00207909">
        <w:rPr>
          <w:lang w:eastAsia="zh-CN"/>
        </w:rPr>
        <w:t xml:space="preserve">. Since RAN2 has agreed that </w:t>
      </w:r>
      <w:proofErr w:type="spellStart"/>
      <w:r w:rsidR="00207909" w:rsidRPr="00BC4F3C">
        <w:rPr>
          <w:i/>
          <w:lang w:eastAsia="zh-CN"/>
        </w:rPr>
        <w:t>RRCReconfigurationComplete</w:t>
      </w:r>
      <w:proofErr w:type="spellEnd"/>
      <w:r w:rsidR="00207909" w:rsidRPr="00207909">
        <w:rPr>
          <w:lang w:eastAsia="zh-CN"/>
        </w:rPr>
        <w:t xml:space="preserve"> message can be used to report applicable functionality</w:t>
      </w:r>
      <w:r w:rsidR="00207909">
        <w:rPr>
          <w:lang w:eastAsia="zh-CN"/>
        </w:rPr>
        <w:t xml:space="preserve">, the UE </w:t>
      </w:r>
      <w:r w:rsidR="00207909" w:rsidRPr="00207909">
        <w:rPr>
          <w:lang w:eastAsia="zh-CN"/>
        </w:rPr>
        <w:t xml:space="preserve">can send the applicability reporting to target cell in the </w:t>
      </w:r>
      <w:proofErr w:type="spellStart"/>
      <w:r w:rsidR="00207909" w:rsidRPr="00BC4F3C">
        <w:rPr>
          <w:i/>
          <w:lang w:eastAsia="zh-CN"/>
        </w:rPr>
        <w:t>RRCReconfigurationComplete</w:t>
      </w:r>
      <w:proofErr w:type="spellEnd"/>
      <w:r w:rsidR="00207909" w:rsidRPr="00207909">
        <w:rPr>
          <w:lang w:eastAsia="zh-CN"/>
        </w:rPr>
        <w:t xml:space="preserve"> message (i.e., handover complete message) once the UE accesses to target cell</w:t>
      </w:r>
      <w:r w:rsidR="00207909">
        <w:rPr>
          <w:lang w:eastAsia="zh-CN"/>
        </w:rPr>
        <w:t>. Then target gNB configures/activates the functionality.</w:t>
      </w:r>
    </w:p>
    <w:p w14:paraId="084CEF6D" w14:textId="41D6DDFB" w:rsidR="007637F3" w:rsidRPr="00835E2C" w:rsidRDefault="007637F3" w:rsidP="00835E2C">
      <w:pPr>
        <w:pStyle w:val="Observation"/>
        <w:numPr>
          <w:ilvl w:val="0"/>
          <w:numId w:val="50"/>
        </w:numPr>
        <w:tabs>
          <w:tab w:val="left" w:pos="1701"/>
        </w:tabs>
        <w:overflowPunct w:val="0"/>
        <w:autoSpaceDE w:val="0"/>
        <w:autoSpaceDN w:val="0"/>
        <w:adjustRightInd w:val="0"/>
        <w:spacing w:before="180" w:after="180"/>
        <w:ind w:leftChars="0" w:left="1701" w:hanging="1701"/>
        <w:jc w:val="both"/>
        <w:textAlignment w:val="baseline"/>
        <w:rPr>
          <w:b w:val="0"/>
          <w:lang w:val="en-GB"/>
        </w:rPr>
      </w:pPr>
      <w:r w:rsidRPr="00835E2C">
        <w:rPr>
          <w:color w:val="auto"/>
          <w:szCs w:val="20"/>
          <w:lang w:val="en-GB"/>
        </w:rPr>
        <w:lastRenderedPageBreak/>
        <w:t xml:space="preserve">The UE can send the applicability reporting to target cell in the </w:t>
      </w:r>
      <w:proofErr w:type="spellStart"/>
      <w:r w:rsidRPr="00835E2C">
        <w:rPr>
          <w:color w:val="auto"/>
          <w:szCs w:val="20"/>
          <w:lang w:val="en-GB"/>
        </w:rPr>
        <w:t>RRCReconfigurationComplete</w:t>
      </w:r>
      <w:proofErr w:type="spellEnd"/>
      <w:r w:rsidRPr="00835E2C">
        <w:rPr>
          <w:color w:val="auto"/>
          <w:szCs w:val="20"/>
          <w:lang w:val="en-GB"/>
        </w:rPr>
        <w:t xml:space="preserve"> message (i.e., handover complete message)</w:t>
      </w:r>
      <w:r w:rsidR="00680811" w:rsidRPr="00835E2C">
        <w:rPr>
          <w:color w:val="auto"/>
          <w:szCs w:val="20"/>
          <w:lang w:val="en-GB"/>
        </w:rPr>
        <w:t xml:space="preserve"> once the UE accesses to target cell</w:t>
      </w:r>
      <w:r w:rsidR="009A3CC4" w:rsidRPr="00835E2C">
        <w:rPr>
          <w:color w:val="auto"/>
          <w:szCs w:val="20"/>
          <w:lang w:val="en-GB"/>
        </w:rPr>
        <w:t xml:space="preserve"> if target </w:t>
      </w:r>
      <w:proofErr w:type="spellStart"/>
      <w:r w:rsidR="009A3CC4" w:rsidRPr="00835E2C">
        <w:rPr>
          <w:color w:val="auto"/>
          <w:szCs w:val="20"/>
          <w:lang w:val="en-GB"/>
        </w:rPr>
        <w:t>gNB</w:t>
      </w:r>
      <w:proofErr w:type="spellEnd"/>
      <w:r w:rsidR="009A3CC4" w:rsidRPr="00835E2C">
        <w:rPr>
          <w:color w:val="auto"/>
          <w:szCs w:val="20"/>
          <w:lang w:val="en-GB"/>
        </w:rPr>
        <w:t xml:space="preserve"> includes the </w:t>
      </w:r>
      <w:proofErr w:type="spellStart"/>
      <w:r w:rsidR="009A3CC4" w:rsidRPr="00835E2C">
        <w:rPr>
          <w:color w:val="auto"/>
          <w:szCs w:val="20"/>
          <w:lang w:val="en-GB"/>
        </w:rPr>
        <w:t>otherConfig</w:t>
      </w:r>
      <w:proofErr w:type="spellEnd"/>
      <w:r w:rsidR="009A3CC4" w:rsidRPr="00835E2C">
        <w:rPr>
          <w:color w:val="auto"/>
          <w:szCs w:val="20"/>
          <w:lang w:val="en-GB"/>
        </w:rPr>
        <w:t xml:space="preserve"> IE in the handover command</w:t>
      </w:r>
      <w:r w:rsidRPr="00835E2C">
        <w:rPr>
          <w:color w:val="auto"/>
          <w:szCs w:val="20"/>
          <w:lang w:val="en-GB"/>
        </w:rPr>
        <w:t>.</w:t>
      </w:r>
    </w:p>
    <w:p w14:paraId="0604FC3A" w14:textId="339029FA" w:rsidR="007637F3" w:rsidRDefault="00207909">
      <w:pPr>
        <w:spacing w:after="120" w:line="260" w:lineRule="exact"/>
        <w:jc w:val="both"/>
        <w:rPr>
          <w:lang w:eastAsia="zh-CN"/>
        </w:rPr>
      </w:pPr>
      <w:r>
        <w:rPr>
          <w:lang w:eastAsia="zh-CN"/>
        </w:rPr>
        <w:t>I</w:t>
      </w:r>
      <w:r w:rsidR="005C21A2">
        <w:rPr>
          <w:lang w:eastAsia="zh-CN"/>
        </w:rPr>
        <w:t>t is not so critical to configure</w:t>
      </w:r>
      <w:r w:rsidR="005C21A2">
        <w:rPr>
          <w:rFonts w:hint="eastAsia"/>
          <w:lang w:eastAsia="zh-CN"/>
        </w:rPr>
        <w:t>/</w:t>
      </w:r>
      <w:r w:rsidR="005C21A2">
        <w:rPr>
          <w:lang w:eastAsia="zh-CN"/>
        </w:rPr>
        <w:t>activate the functionality in the handover command message</w:t>
      </w:r>
      <w:r w:rsidRPr="00207909">
        <w:rPr>
          <w:lang w:eastAsia="zh-CN"/>
        </w:rPr>
        <w:t xml:space="preserve"> </w:t>
      </w:r>
      <w:r>
        <w:rPr>
          <w:lang w:eastAsia="zh-CN"/>
        </w:rPr>
        <w:t>at least for beam management use case</w:t>
      </w:r>
      <w:r w:rsidR="005C21A2">
        <w:rPr>
          <w:lang w:eastAsia="zh-CN"/>
        </w:rPr>
        <w:t xml:space="preserve">. </w:t>
      </w:r>
      <w:r>
        <w:rPr>
          <w:lang w:eastAsia="zh-CN"/>
        </w:rPr>
        <w:t xml:space="preserve">Taking the complexity into account, </w:t>
      </w:r>
      <w:r w:rsidR="00885E18">
        <w:rPr>
          <w:lang w:eastAsia="zh-CN"/>
        </w:rPr>
        <w:t xml:space="preserve">we think that it is unnecessary to </w:t>
      </w:r>
      <w:r w:rsidR="003907B0">
        <w:rPr>
          <w:lang w:eastAsia="zh-CN"/>
        </w:rPr>
        <w:t>support</w:t>
      </w:r>
      <w:r w:rsidR="00885E18">
        <w:rPr>
          <w:lang w:eastAsia="zh-CN"/>
        </w:rPr>
        <w:t xml:space="preserve"> n</w:t>
      </w:r>
      <w:r w:rsidR="00885E18" w:rsidRPr="00885E18">
        <w:rPr>
          <w:lang w:eastAsia="zh-CN"/>
        </w:rPr>
        <w:t>eighbouring cell’s applicability in applicability reporting</w:t>
      </w:r>
      <w:r w:rsidR="00885E18">
        <w:rPr>
          <w:lang w:eastAsia="zh-CN"/>
        </w:rPr>
        <w:t>.</w:t>
      </w:r>
      <w:r>
        <w:rPr>
          <w:lang w:eastAsia="zh-CN"/>
        </w:rPr>
        <w:t xml:space="preserve"> It is simple and has less specification impacts that the UE </w:t>
      </w:r>
      <w:r w:rsidRPr="005C21A2">
        <w:rPr>
          <w:lang w:eastAsia="zh-CN"/>
        </w:rPr>
        <w:t>send</w:t>
      </w:r>
      <w:r>
        <w:rPr>
          <w:lang w:eastAsia="zh-CN"/>
        </w:rPr>
        <w:t>s</w:t>
      </w:r>
      <w:r w:rsidRPr="005C21A2">
        <w:rPr>
          <w:lang w:eastAsia="zh-CN"/>
        </w:rPr>
        <w:t xml:space="preserve"> the applicability reporting</w:t>
      </w:r>
      <w:r>
        <w:rPr>
          <w:lang w:eastAsia="zh-CN"/>
        </w:rPr>
        <w:t xml:space="preserve"> after the UE accesses to target cell.</w:t>
      </w:r>
    </w:p>
    <w:p w14:paraId="0D9BEED8" w14:textId="54A211B8" w:rsidR="00A44260" w:rsidRPr="00D91982" w:rsidRDefault="00B76408" w:rsidP="00835E2C">
      <w:pPr>
        <w:pStyle w:val="Proposal"/>
        <w:numPr>
          <w:ilvl w:val="0"/>
          <w:numId w:val="48"/>
        </w:numPr>
        <w:tabs>
          <w:tab w:val="clear" w:pos="1560"/>
          <w:tab w:val="left" w:pos="1701"/>
        </w:tabs>
        <w:overflowPunct w:val="0"/>
        <w:autoSpaceDE w:val="0"/>
        <w:autoSpaceDN w:val="0"/>
        <w:adjustRightInd w:val="0"/>
        <w:spacing w:after="120"/>
        <w:ind w:left="1701" w:hanging="1701"/>
        <w:jc w:val="both"/>
        <w:textAlignment w:val="baseline"/>
      </w:pPr>
      <w:r>
        <w:t>For beam management, n</w:t>
      </w:r>
      <w:r w:rsidR="002436F5" w:rsidRPr="002436F5">
        <w:t xml:space="preserve">eighbouring cell’s applicability is not </w:t>
      </w:r>
      <w:r w:rsidR="00A44260" w:rsidRPr="00BC4F3C">
        <w:t>include</w:t>
      </w:r>
      <w:r w:rsidR="002436F5">
        <w:t>d in applicability reporting.</w:t>
      </w:r>
    </w:p>
    <w:p w14:paraId="6B9D6866" w14:textId="4F29BF26" w:rsidR="007B5251" w:rsidRDefault="00207909" w:rsidP="00835E2C">
      <w:pPr>
        <w:spacing w:afterLines="50" w:after="120" w:line="260" w:lineRule="exact"/>
        <w:jc w:val="both"/>
        <w:rPr>
          <w:lang w:eastAsia="zh-CN"/>
        </w:rPr>
      </w:pPr>
      <w:r>
        <w:rPr>
          <w:rFonts w:hint="eastAsia"/>
          <w:lang w:eastAsia="zh-CN"/>
        </w:rPr>
        <w:t>A</w:t>
      </w:r>
      <w:r>
        <w:rPr>
          <w:lang w:eastAsia="zh-CN"/>
        </w:rPr>
        <w:t xml:space="preserve">nother issue is </w:t>
      </w:r>
      <w:r w:rsidR="00671681">
        <w:rPr>
          <w:lang w:eastAsia="zh-CN"/>
        </w:rPr>
        <w:t>the signaling design</w:t>
      </w:r>
      <w:r w:rsidR="004B3EAC">
        <w:rPr>
          <w:lang w:eastAsia="zh-CN"/>
        </w:rPr>
        <w:t xml:space="preserve"> </w:t>
      </w:r>
      <w:r w:rsidR="0017046D">
        <w:rPr>
          <w:lang w:eastAsia="zh-CN"/>
        </w:rPr>
        <w:t>for</w:t>
      </w:r>
      <w:r w:rsidR="00390A78">
        <w:rPr>
          <w:lang w:eastAsia="zh-CN"/>
        </w:rPr>
        <w:t xml:space="preserve"> </w:t>
      </w:r>
      <w:r w:rsidR="00B76408">
        <w:rPr>
          <w:lang w:eastAsia="zh-CN"/>
        </w:rPr>
        <w:t xml:space="preserve">non-applicable functionality </w:t>
      </w:r>
      <w:r w:rsidR="00390A78">
        <w:rPr>
          <w:lang w:eastAsia="zh-CN"/>
        </w:rPr>
        <w:t>reporting</w:t>
      </w:r>
      <w:r w:rsidR="0017046D">
        <w:rPr>
          <w:lang w:eastAsia="zh-CN"/>
        </w:rPr>
        <w:t xml:space="preserve">, </w:t>
      </w:r>
      <w:r w:rsidR="00B76408">
        <w:rPr>
          <w:lang w:eastAsia="zh-CN"/>
        </w:rPr>
        <w:t>i.e</w:t>
      </w:r>
      <w:r w:rsidR="0017046D">
        <w:rPr>
          <w:lang w:eastAsia="zh-CN"/>
        </w:rPr>
        <w:t xml:space="preserve">., </w:t>
      </w:r>
      <w:r w:rsidR="004B3EAC" w:rsidRPr="004B3EAC">
        <w:rPr>
          <w:lang w:eastAsia="zh-CN"/>
        </w:rPr>
        <w:t>when an applicable AI functionality becomes non-applicable.</w:t>
      </w:r>
      <w:r w:rsidR="00BC4F3C">
        <w:rPr>
          <w:lang w:eastAsia="zh-CN"/>
        </w:rPr>
        <w:t xml:space="preserve"> There may be two potential signaling designs:</w:t>
      </w:r>
    </w:p>
    <w:p w14:paraId="18F8342C" w14:textId="5B69698C" w:rsidR="00BC4F3C" w:rsidRPr="00835E2C" w:rsidRDefault="00BC4F3C" w:rsidP="00835E2C">
      <w:pPr>
        <w:pStyle w:val="ListParagraph"/>
        <w:numPr>
          <w:ilvl w:val="0"/>
          <w:numId w:val="45"/>
        </w:numPr>
        <w:spacing w:afterLines="50" w:after="120" w:line="260" w:lineRule="exact"/>
        <w:ind w:firstLineChars="0"/>
        <w:rPr>
          <w:rFonts w:ascii="Times New Roman" w:hAnsi="Times New Roman"/>
          <w:sz w:val="20"/>
          <w:szCs w:val="20"/>
        </w:rPr>
      </w:pPr>
      <w:r w:rsidRPr="0067098B">
        <w:rPr>
          <w:rFonts w:ascii="Times New Roman" w:hAnsi="Times New Roman"/>
          <w:b/>
          <w:sz w:val="20"/>
          <w:szCs w:val="20"/>
        </w:rPr>
        <w:t xml:space="preserve">Alt1: </w:t>
      </w:r>
      <w:r w:rsidRPr="00835E2C">
        <w:rPr>
          <w:rFonts w:ascii="Times New Roman" w:hAnsi="Times New Roman"/>
          <w:sz w:val="20"/>
          <w:szCs w:val="20"/>
        </w:rPr>
        <w:t xml:space="preserve">For initial reporting, the UE reports the list of applicable functionalities. For subsequent reporting, the UE reports the change information (i.e., delta </w:t>
      </w:r>
      <w:r w:rsidR="008A720C" w:rsidRPr="00835E2C">
        <w:rPr>
          <w:rFonts w:ascii="Times New Roman" w:hAnsi="Times New Roman"/>
          <w:sz w:val="20"/>
          <w:szCs w:val="20"/>
        </w:rPr>
        <w:t>signaling us</w:t>
      </w:r>
      <w:r w:rsidR="0067098B" w:rsidRPr="00835E2C">
        <w:rPr>
          <w:rFonts w:ascii="Times New Roman" w:hAnsi="Times New Roman"/>
          <w:sz w:val="20"/>
          <w:szCs w:val="20"/>
        </w:rPr>
        <w:t>ing</w:t>
      </w:r>
      <w:r w:rsidR="008A720C" w:rsidRPr="00835E2C">
        <w:rPr>
          <w:rFonts w:ascii="Times New Roman" w:hAnsi="Times New Roman"/>
          <w:sz w:val="20"/>
          <w:szCs w:val="20"/>
        </w:rPr>
        <w:t xml:space="preserve"> </w:t>
      </w:r>
      <w:proofErr w:type="spellStart"/>
      <w:r w:rsidR="008A720C" w:rsidRPr="00835E2C">
        <w:rPr>
          <w:rFonts w:ascii="Times New Roman" w:hAnsi="Times New Roman"/>
          <w:i/>
          <w:sz w:val="20"/>
          <w:szCs w:val="20"/>
        </w:rPr>
        <w:t>ToAddList</w:t>
      </w:r>
      <w:proofErr w:type="spellEnd"/>
      <w:r w:rsidR="008A720C" w:rsidRPr="00835E2C">
        <w:rPr>
          <w:rFonts w:ascii="Times New Roman" w:hAnsi="Times New Roman"/>
          <w:sz w:val="20"/>
          <w:szCs w:val="20"/>
        </w:rPr>
        <w:t xml:space="preserve"> and </w:t>
      </w:r>
      <w:proofErr w:type="spellStart"/>
      <w:r w:rsidR="008A720C" w:rsidRPr="00835E2C">
        <w:rPr>
          <w:rFonts w:ascii="Times New Roman" w:hAnsi="Times New Roman"/>
          <w:i/>
          <w:sz w:val="20"/>
          <w:szCs w:val="20"/>
        </w:rPr>
        <w:t>ToReleaseList</w:t>
      </w:r>
      <w:proofErr w:type="spellEnd"/>
      <w:r w:rsidR="008A720C" w:rsidRPr="00835E2C">
        <w:rPr>
          <w:rFonts w:ascii="Times New Roman" w:hAnsi="Times New Roman"/>
          <w:sz w:val="20"/>
          <w:szCs w:val="20"/>
        </w:rPr>
        <w:t xml:space="preserve"> structure</w:t>
      </w:r>
      <w:r w:rsidRPr="00835E2C">
        <w:rPr>
          <w:rFonts w:ascii="Times New Roman" w:hAnsi="Times New Roman"/>
          <w:sz w:val="20"/>
          <w:szCs w:val="20"/>
        </w:rPr>
        <w:t>).</w:t>
      </w:r>
      <w:r w:rsidR="008E06A1" w:rsidRPr="00835E2C">
        <w:rPr>
          <w:rFonts w:ascii="Times New Roman" w:hAnsi="Times New Roman"/>
          <w:sz w:val="20"/>
          <w:szCs w:val="20"/>
        </w:rPr>
        <w:t xml:space="preserve"> The ASN.1 example is for reference:</w:t>
      </w:r>
    </w:p>
    <w:p w14:paraId="69E9C87A" w14:textId="77777777" w:rsidR="00BC4F3C" w:rsidRPr="0017046D"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17046D">
        <w:rPr>
          <w:rFonts w:ascii="Courier New" w:eastAsia="Times New Roman" w:hAnsi="Courier New" w:cs="Courier New"/>
          <w:noProof/>
          <w:sz w:val="16"/>
          <w:lang w:val="en-GB" w:eastAsia="en-GB"/>
        </w:rPr>
        <w:t xml:space="preserve">UEAssistanceInformation ::=         </w:t>
      </w:r>
      <w:r w:rsidRPr="0017046D">
        <w:rPr>
          <w:rFonts w:ascii="Courier New" w:eastAsia="Times New Roman" w:hAnsi="Courier New" w:cs="Courier New"/>
          <w:noProof/>
          <w:color w:val="993366"/>
          <w:sz w:val="16"/>
          <w:lang w:val="en-GB" w:eastAsia="en-GB"/>
        </w:rPr>
        <w:t>SEQUENCE</w:t>
      </w:r>
      <w:r w:rsidRPr="0017046D">
        <w:rPr>
          <w:rFonts w:ascii="Courier New" w:eastAsia="Times New Roman" w:hAnsi="Courier New" w:cs="Courier New"/>
          <w:noProof/>
          <w:sz w:val="16"/>
          <w:lang w:val="en-GB" w:eastAsia="en-GB"/>
        </w:rPr>
        <w:t xml:space="preserve"> {</w:t>
      </w:r>
    </w:p>
    <w:p w14:paraId="48BCD1A7" w14:textId="77777777" w:rsidR="00BC4F3C" w:rsidRPr="00BC4F3C"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val="en-GB" w:eastAsia="zh-CN"/>
        </w:rPr>
      </w:pPr>
      <w:r>
        <w:rPr>
          <w:rFonts w:ascii="Courier New" w:eastAsiaTheme="minorEastAsia" w:hAnsi="Courier New" w:cs="Courier New" w:hint="eastAsia"/>
          <w:noProof/>
          <w:sz w:val="16"/>
          <w:lang w:val="en-GB" w:eastAsia="zh-CN"/>
        </w:rPr>
        <w:t>.</w:t>
      </w:r>
      <w:r>
        <w:rPr>
          <w:rFonts w:ascii="Courier New" w:eastAsiaTheme="minorEastAsia" w:hAnsi="Courier New" w:cs="Courier New"/>
          <w:noProof/>
          <w:sz w:val="16"/>
          <w:lang w:val="en-GB" w:eastAsia="zh-CN"/>
        </w:rPr>
        <w:t>..</w:t>
      </w:r>
    </w:p>
    <w:p w14:paraId="0EC3CBA3" w14:textId="6840AD25" w:rsidR="00BC4F3C"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Pr>
          <w:rFonts w:ascii="Courier New" w:eastAsia="Times New Roman" w:hAnsi="Courier New" w:cs="Courier New"/>
          <w:noProof/>
          <w:sz w:val="16"/>
          <w:lang w:val="en-GB" w:eastAsia="en-GB"/>
        </w:rPr>
        <w:tab/>
      </w:r>
      <w:r w:rsidRPr="0017046D">
        <w:rPr>
          <w:rFonts w:ascii="Courier New" w:eastAsia="Times New Roman" w:hAnsi="Courier New" w:cs="Courier New"/>
          <w:noProof/>
          <w:sz w:val="16"/>
          <w:lang w:val="en-GB" w:eastAsia="en-GB"/>
        </w:rPr>
        <w:t xml:space="preserve">applicabilityReporting </w:t>
      </w:r>
      <w:r w:rsidR="00FF438E">
        <w:rPr>
          <w:rFonts w:ascii="Courier New" w:eastAsia="Times New Roman" w:hAnsi="Courier New" w:cs="Courier New"/>
          <w:noProof/>
          <w:sz w:val="16"/>
          <w:lang w:val="en-GB" w:eastAsia="en-GB"/>
        </w:rPr>
        <w:t>A</w:t>
      </w:r>
      <w:r w:rsidR="00FF438E" w:rsidRPr="00FF438E">
        <w:rPr>
          <w:rFonts w:ascii="Courier New" w:eastAsia="Times New Roman" w:hAnsi="Courier New" w:cs="Courier New"/>
          <w:noProof/>
          <w:sz w:val="16"/>
          <w:lang w:val="en-GB" w:eastAsia="en-GB"/>
        </w:rPr>
        <w:t>pplicabilityReporting OPTIONAL</w:t>
      </w:r>
      <w:r w:rsidR="00FF438E">
        <w:rPr>
          <w:rFonts w:ascii="Courier New" w:eastAsia="Times New Roman" w:hAnsi="Courier New" w:cs="Courier New"/>
          <w:noProof/>
          <w:sz w:val="16"/>
          <w:lang w:val="en-GB" w:eastAsia="en-GB"/>
        </w:rPr>
        <w:t>,</w:t>
      </w:r>
    </w:p>
    <w:p w14:paraId="0867E923" w14:textId="77777777" w:rsidR="00BC4F3C" w:rsidRPr="00EF63EE"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val="en-GB" w:eastAsia="zh-CN"/>
        </w:rPr>
      </w:pPr>
      <w:r>
        <w:rPr>
          <w:rFonts w:ascii="Courier New" w:eastAsiaTheme="minorEastAsia" w:hAnsi="Courier New" w:cs="Courier New" w:hint="eastAsia"/>
          <w:noProof/>
          <w:sz w:val="16"/>
          <w:lang w:val="en-GB" w:eastAsia="zh-CN"/>
        </w:rPr>
        <w:t>.</w:t>
      </w:r>
      <w:r>
        <w:rPr>
          <w:rFonts w:ascii="Courier New" w:eastAsiaTheme="minorEastAsia" w:hAnsi="Courier New" w:cs="Courier New"/>
          <w:noProof/>
          <w:sz w:val="16"/>
          <w:lang w:val="en-GB" w:eastAsia="zh-CN"/>
        </w:rPr>
        <w:t>..</w:t>
      </w:r>
    </w:p>
    <w:p w14:paraId="15678AAE" w14:textId="77777777" w:rsidR="00BC4F3C" w:rsidRPr="0017046D"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17046D">
        <w:rPr>
          <w:rFonts w:ascii="Courier New" w:eastAsia="Times New Roman" w:hAnsi="Courier New" w:cs="Courier New"/>
          <w:noProof/>
          <w:sz w:val="16"/>
          <w:lang w:val="en-GB" w:eastAsia="en-GB"/>
        </w:rPr>
        <w:t>}</w:t>
      </w:r>
    </w:p>
    <w:p w14:paraId="403FFA12" w14:textId="13622CD0" w:rsidR="00BC4F3C"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p>
    <w:p w14:paraId="3B9C6AB3" w14:textId="5A9A606E" w:rsidR="00FF438E" w:rsidRPr="00FF438E" w:rsidRDefault="00FF438E"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FF438E">
        <w:rPr>
          <w:rFonts w:ascii="Courier New" w:eastAsia="Times New Roman" w:hAnsi="Courier New" w:cs="Courier New"/>
          <w:noProof/>
          <w:sz w:val="16"/>
          <w:lang w:val="en-GB" w:eastAsia="en-GB"/>
        </w:rPr>
        <w:t xml:space="preserve">ApplicabilityReporting ::=     </w:t>
      </w:r>
      <w:r w:rsidRPr="00FF438E">
        <w:rPr>
          <w:rFonts w:ascii="Courier New" w:eastAsia="Times New Roman" w:hAnsi="Courier New" w:cs="Courier New"/>
          <w:noProof/>
          <w:color w:val="993366"/>
          <w:sz w:val="16"/>
          <w:lang w:val="en-GB" w:eastAsia="en-GB"/>
        </w:rPr>
        <w:t>SEQUENCE</w:t>
      </w:r>
      <w:r w:rsidRPr="00FF438E">
        <w:rPr>
          <w:rFonts w:ascii="Courier New" w:eastAsia="Times New Roman" w:hAnsi="Courier New" w:cs="Courier New"/>
          <w:noProof/>
          <w:sz w:val="16"/>
          <w:lang w:val="en-GB" w:eastAsia="en-GB"/>
        </w:rPr>
        <w:t xml:space="preserve"> {</w:t>
      </w:r>
    </w:p>
    <w:p w14:paraId="7AB62187" w14:textId="55FA22A1" w:rsidR="00FF438E" w:rsidRPr="00FF438E" w:rsidRDefault="00FF438E"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FF438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a</w:t>
      </w:r>
      <w:r w:rsidRPr="00FF438E">
        <w:rPr>
          <w:rFonts w:ascii="Courier New" w:eastAsia="Times New Roman" w:hAnsi="Courier New" w:cs="Courier New"/>
          <w:noProof/>
          <w:sz w:val="16"/>
          <w:lang w:val="en-GB" w:eastAsia="en-GB"/>
        </w:rPr>
        <w:t>pplicableFunc</w:t>
      </w:r>
      <w:r w:rsidRPr="00FF438E">
        <w:rPr>
          <w:rFonts w:ascii="Courier New" w:eastAsia="Times New Roman" w:hAnsi="Courier New" w:cs="Courier New"/>
          <w:noProof/>
          <w:sz w:val="16"/>
          <w:highlight w:val="yellow"/>
          <w:lang w:val="en-GB" w:eastAsia="en-GB"/>
        </w:rPr>
        <w:t>ToAddList</w:t>
      </w:r>
      <w:r w:rsidRPr="00FF438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A</w:t>
      </w:r>
      <w:r w:rsidRPr="00FF438E">
        <w:rPr>
          <w:rFonts w:ascii="Courier New" w:eastAsia="Times New Roman" w:hAnsi="Courier New" w:cs="Courier New"/>
          <w:noProof/>
          <w:sz w:val="16"/>
          <w:lang w:val="en-GB" w:eastAsia="en-GB"/>
        </w:rPr>
        <w:t xml:space="preserve">pplicableFuncToAddList             </w:t>
      </w:r>
      <w:r w:rsidRPr="00FF438E">
        <w:rPr>
          <w:rFonts w:ascii="Courier New" w:eastAsia="Times New Roman" w:hAnsi="Courier New" w:cs="Courier New"/>
          <w:noProof/>
          <w:color w:val="993366"/>
          <w:sz w:val="16"/>
          <w:lang w:val="en-GB" w:eastAsia="en-GB"/>
        </w:rPr>
        <w:t>OPTIONAL</w:t>
      </w:r>
      <w:r w:rsidRPr="00FF438E">
        <w:rPr>
          <w:rFonts w:ascii="Courier New" w:eastAsia="Times New Roman" w:hAnsi="Courier New" w:cs="Courier New"/>
          <w:noProof/>
          <w:sz w:val="16"/>
          <w:lang w:val="en-GB" w:eastAsia="en-GB"/>
        </w:rPr>
        <w:t>,</w:t>
      </w:r>
    </w:p>
    <w:p w14:paraId="32B59795" w14:textId="0028806C" w:rsidR="00FF438E" w:rsidRPr="00FF438E" w:rsidRDefault="00FF438E"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FF438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a</w:t>
      </w:r>
      <w:r w:rsidRPr="00FF438E">
        <w:rPr>
          <w:rFonts w:ascii="Courier New" w:eastAsia="Times New Roman" w:hAnsi="Courier New" w:cs="Courier New"/>
          <w:noProof/>
          <w:sz w:val="16"/>
          <w:lang w:val="en-GB" w:eastAsia="en-GB"/>
        </w:rPr>
        <w:t>pplicableFunc</w:t>
      </w:r>
      <w:r w:rsidRPr="00FF438E">
        <w:rPr>
          <w:rFonts w:ascii="Courier New" w:eastAsia="Times New Roman" w:hAnsi="Courier New" w:cs="Courier New"/>
          <w:noProof/>
          <w:sz w:val="16"/>
          <w:highlight w:val="yellow"/>
          <w:lang w:val="en-GB" w:eastAsia="en-GB"/>
        </w:rPr>
        <w:t>ToReleaseList</w:t>
      </w:r>
      <w:r w:rsidRPr="00FF438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A</w:t>
      </w:r>
      <w:r w:rsidRPr="00FF438E">
        <w:rPr>
          <w:rFonts w:ascii="Courier New" w:eastAsia="Times New Roman" w:hAnsi="Courier New" w:cs="Courier New"/>
          <w:noProof/>
          <w:sz w:val="16"/>
          <w:lang w:val="en-GB" w:eastAsia="en-GB"/>
        </w:rPr>
        <w:t xml:space="preserve">pplicableFuncToReleaseList         </w:t>
      </w:r>
      <w:r w:rsidRPr="00FF438E">
        <w:rPr>
          <w:rFonts w:ascii="Courier New" w:eastAsia="Times New Roman" w:hAnsi="Courier New" w:cs="Courier New"/>
          <w:noProof/>
          <w:color w:val="993366"/>
          <w:sz w:val="16"/>
          <w:lang w:val="en-GB" w:eastAsia="en-GB"/>
        </w:rPr>
        <w:t>OPTIONAL</w:t>
      </w:r>
    </w:p>
    <w:p w14:paraId="4E43D1D8" w14:textId="708B7FE0" w:rsidR="00FF438E" w:rsidRPr="00FF438E" w:rsidRDefault="00FF438E"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FF438E">
        <w:rPr>
          <w:rFonts w:ascii="Courier New" w:eastAsia="Times New Roman" w:hAnsi="Courier New" w:cs="Courier New"/>
          <w:noProof/>
          <w:sz w:val="16"/>
          <w:lang w:val="en-GB" w:eastAsia="en-GB"/>
        </w:rPr>
        <w:t>}</w:t>
      </w:r>
    </w:p>
    <w:p w14:paraId="385DDB44" w14:textId="2CD36AF4" w:rsidR="00FF438E" w:rsidRDefault="00FF438E"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p>
    <w:p w14:paraId="1D092440" w14:textId="1143A650" w:rsidR="00FF438E" w:rsidRPr="0017046D" w:rsidRDefault="00FF438E"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FF438E">
        <w:rPr>
          <w:rFonts w:ascii="Courier New" w:eastAsia="Times New Roman" w:hAnsi="Courier New" w:cs="Courier New"/>
          <w:noProof/>
          <w:sz w:val="16"/>
          <w:lang w:val="en-GB" w:eastAsia="en-GB"/>
        </w:rPr>
        <w:t>ApplicableFuncToAddList</w:t>
      </w:r>
      <w:r w:rsidRPr="0017046D">
        <w:rPr>
          <w:rFonts w:ascii="Courier New" w:eastAsia="Times New Roman" w:hAnsi="Courier New" w:cs="Courier New"/>
          <w:noProof/>
          <w:sz w:val="16"/>
          <w:lang w:val="en-GB" w:eastAsia="en-GB"/>
        </w:rPr>
        <w:t xml:space="preserve"> ::= </w:t>
      </w:r>
      <w:r w:rsidRPr="0017046D">
        <w:rPr>
          <w:rFonts w:ascii="Courier New" w:eastAsia="Times New Roman" w:hAnsi="Courier New" w:cs="Courier New"/>
          <w:noProof/>
          <w:color w:val="993366"/>
          <w:sz w:val="16"/>
          <w:lang w:val="en-GB" w:eastAsia="en-GB"/>
        </w:rPr>
        <w:t>SEQUENCE</w:t>
      </w:r>
      <w:r w:rsidRPr="0017046D">
        <w:rPr>
          <w:rFonts w:ascii="Courier New" w:eastAsia="Times New Roman" w:hAnsi="Courier New" w:cs="Courier New"/>
          <w:noProof/>
          <w:sz w:val="16"/>
          <w:lang w:val="en-GB" w:eastAsia="en-GB"/>
        </w:rPr>
        <w:t xml:space="preserve"> (</w:t>
      </w:r>
      <w:r w:rsidRPr="0017046D">
        <w:rPr>
          <w:rFonts w:ascii="Courier New" w:eastAsia="Times New Roman" w:hAnsi="Courier New" w:cs="Courier New"/>
          <w:noProof/>
          <w:color w:val="993366"/>
          <w:sz w:val="16"/>
          <w:lang w:val="en-GB" w:eastAsia="en-GB"/>
        </w:rPr>
        <w:t>SIZE</w:t>
      </w:r>
      <w:r w:rsidRPr="0017046D">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1</w:t>
      </w:r>
      <w:r w:rsidRPr="0017046D">
        <w:rPr>
          <w:rFonts w:ascii="Courier New" w:eastAsia="Times New Roman" w:hAnsi="Courier New" w:cs="Courier New"/>
          <w:noProof/>
          <w:sz w:val="16"/>
          <w:lang w:val="en-GB" w:eastAsia="en-GB"/>
        </w:rPr>
        <w:t>..maxApplicableFunc))</w:t>
      </w:r>
      <w:r w:rsidRPr="0017046D">
        <w:rPr>
          <w:rFonts w:ascii="Courier New" w:eastAsia="Times New Roman" w:hAnsi="Courier New" w:cs="Courier New"/>
          <w:noProof/>
          <w:color w:val="993366"/>
          <w:sz w:val="16"/>
          <w:lang w:val="en-GB" w:eastAsia="en-GB"/>
        </w:rPr>
        <w:t xml:space="preserve"> OF</w:t>
      </w:r>
      <w:r w:rsidRPr="0017046D">
        <w:rPr>
          <w:rFonts w:ascii="Courier New" w:eastAsia="Times New Roman" w:hAnsi="Courier New" w:cs="Courier New"/>
          <w:noProof/>
          <w:sz w:val="16"/>
          <w:lang w:val="en-GB" w:eastAsia="en-GB"/>
        </w:rPr>
        <w:t xml:space="preserve"> ApplicableFunc</w:t>
      </w:r>
      <w:r>
        <w:rPr>
          <w:rFonts w:ascii="Courier New" w:eastAsia="Times New Roman" w:hAnsi="Courier New" w:cs="Courier New"/>
          <w:noProof/>
          <w:sz w:val="16"/>
          <w:lang w:val="en-GB" w:eastAsia="en-GB"/>
        </w:rPr>
        <w:t>tionality</w:t>
      </w:r>
    </w:p>
    <w:p w14:paraId="45BAE391" w14:textId="2DB8FA22" w:rsidR="00FF438E" w:rsidRDefault="00FF438E"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p>
    <w:p w14:paraId="0DC2F69D" w14:textId="7AAE002E" w:rsidR="00FF438E" w:rsidRPr="0017046D" w:rsidRDefault="00FF438E"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FF438E">
        <w:rPr>
          <w:rFonts w:ascii="Courier New" w:eastAsia="Times New Roman" w:hAnsi="Courier New" w:cs="Courier New"/>
          <w:noProof/>
          <w:sz w:val="16"/>
          <w:lang w:val="en-GB" w:eastAsia="en-GB"/>
        </w:rPr>
        <w:t>ApplicableFuncToReleaseList</w:t>
      </w:r>
      <w:r w:rsidRPr="0017046D">
        <w:rPr>
          <w:rFonts w:ascii="Courier New" w:eastAsia="Times New Roman" w:hAnsi="Courier New" w:cs="Courier New"/>
          <w:noProof/>
          <w:sz w:val="16"/>
          <w:lang w:val="en-GB" w:eastAsia="en-GB"/>
        </w:rPr>
        <w:t xml:space="preserve"> ::= </w:t>
      </w:r>
      <w:r w:rsidRPr="0017046D">
        <w:rPr>
          <w:rFonts w:ascii="Courier New" w:eastAsia="Times New Roman" w:hAnsi="Courier New" w:cs="Courier New"/>
          <w:noProof/>
          <w:color w:val="993366"/>
          <w:sz w:val="16"/>
          <w:lang w:val="en-GB" w:eastAsia="en-GB"/>
        </w:rPr>
        <w:t>SEQUENCE</w:t>
      </w:r>
      <w:r w:rsidRPr="0017046D">
        <w:rPr>
          <w:rFonts w:ascii="Courier New" w:eastAsia="Times New Roman" w:hAnsi="Courier New" w:cs="Courier New"/>
          <w:noProof/>
          <w:sz w:val="16"/>
          <w:lang w:val="en-GB" w:eastAsia="en-GB"/>
        </w:rPr>
        <w:t xml:space="preserve"> (</w:t>
      </w:r>
      <w:r w:rsidRPr="0017046D">
        <w:rPr>
          <w:rFonts w:ascii="Courier New" w:eastAsia="Times New Roman" w:hAnsi="Courier New" w:cs="Courier New"/>
          <w:noProof/>
          <w:color w:val="993366"/>
          <w:sz w:val="16"/>
          <w:lang w:val="en-GB" w:eastAsia="en-GB"/>
        </w:rPr>
        <w:t>SIZE</w:t>
      </w:r>
      <w:r w:rsidRPr="0017046D">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1</w:t>
      </w:r>
      <w:r w:rsidRPr="0017046D">
        <w:rPr>
          <w:rFonts w:ascii="Courier New" w:eastAsia="Times New Roman" w:hAnsi="Courier New" w:cs="Courier New"/>
          <w:noProof/>
          <w:sz w:val="16"/>
          <w:lang w:val="en-GB" w:eastAsia="en-GB"/>
        </w:rPr>
        <w:t>..maxApplicableFunc))</w:t>
      </w:r>
      <w:r w:rsidRPr="0017046D">
        <w:rPr>
          <w:rFonts w:ascii="Courier New" w:eastAsia="Times New Roman" w:hAnsi="Courier New" w:cs="Courier New"/>
          <w:noProof/>
          <w:color w:val="993366"/>
          <w:sz w:val="16"/>
          <w:lang w:val="en-GB" w:eastAsia="en-GB"/>
        </w:rPr>
        <w:t xml:space="preserve"> OF</w:t>
      </w:r>
      <w:r w:rsidRPr="0017046D">
        <w:rPr>
          <w:rFonts w:ascii="Courier New" w:eastAsia="Times New Roman" w:hAnsi="Courier New" w:cs="Courier New"/>
          <w:noProof/>
          <w:sz w:val="16"/>
          <w:lang w:val="en-GB" w:eastAsia="en-GB"/>
        </w:rPr>
        <w:t xml:space="preserve"> </w:t>
      </w:r>
      <w:r w:rsidRPr="008E06A1">
        <w:rPr>
          <w:rFonts w:ascii="Courier New" w:eastAsia="Times New Roman" w:hAnsi="Courier New" w:cs="Courier New"/>
          <w:noProof/>
          <w:sz w:val="16"/>
          <w:highlight w:val="yellow"/>
          <w:lang w:val="en-GB" w:eastAsia="en-GB"/>
        </w:rPr>
        <w:t>FunctionalityIndex</w:t>
      </w:r>
    </w:p>
    <w:p w14:paraId="71EC25B1" w14:textId="77777777" w:rsidR="00BC4F3C" w:rsidRPr="0017046D"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p>
    <w:p w14:paraId="0256E8BF" w14:textId="4F7B542F" w:rsidR="005B5CBB" w:rsidRPr="00835E2C" w:rsidRDefault="00BC4F3C" w:rsidP="00835E2C">
      <w:pPr>
        <w:pStyle w:val="ListParagraph"/>
        <w:numPr>
          <w:ilvl w:val="0"/>
          <w:numId w:val="45"/>
        </w:numPr>
        <w:spacing w:beforeLines="50" w:before="120" w:afterLines="50" w:after="120" w:line="260" w:lineRule="exact"/>
        <w:ind w:firstLineChars="0"/>
        <w:rPr>
          <w:rFonts w:ascii="Times New Roman" w:hAnsi="Times New Roman"/>
          <w:sz w:val="20"/>
          <w:szCs w:val="20"/>
        </w:rPr>
      </w:pPr>
      <w:r w:rsidRPr="0067098B">
        <w:rPr>
          <w:rFonts w:ascii="Times New Roman" w:hAnsi="Times New Roman"/>
          <w:b/>
          <w:sz w:val="20"/>
          <w:szCs w:val="20"/>
        </w:rPr>
        <w:t xml:space="preserve">Alt2: </w:t>
      </w:r>
      <w:r w:rsidRPr="00835E2C">
        <w:rPr>
          <w:rFonts w:ascii="Times New Roman" w:hAnsi="Times New Roman"/>
          <w:sz w:val="20"/>
          <w:szCs w:val="20"/>
        </w:rPr>
        <w:t>The UE always reports the (updated) list of applicable functionalities regardless of initial reporting, or subsequent reporting</w:t>
      </w:r>
      <w:r w:rsidR="0067098B" w:rsidRPr="00835E2C">
        <w:rPr>
          <w:rFonts w:ascii="Times New Roman" w:hAnsi="Times New Roman"/>
          <w:sz w:val="20"/>
          <w:szCs w:val="20"/>
        </w:rPr>
        <w:t xml:space="preserve"> (i.e., full-configuration-like signaling). If there is no applicable functionality, the list can be set to zero element.</w:t>
      </w:r>
      <w:r w:rsidR="007C5D3E" w:rsidRPr="00B76408">
        <w:t xml:space="preserve"> </w:t>
      </w:r>
      <w:r w:rsidR="007C5D3E" w:rsidRPr="00835E2C">
        <w:rPr>
          <w:rFonts w:ascii="Times New Roman" w:hAnsi="Times New Roman"/>
          <w:sz w:val="20"/>
          <w:szCs w:val="20"/>
        </w:rPr>
        <w:t>The ASN.1 example is for reference:</w:t>
      </w:r>
    </w:p>
    <w:p w14:paraId="27398987" w14:textId="77777777" w:rsidR="00BC4F3C" w:rsidRPr="0017046D"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17046D">
        <w:rPr>
          <w:rFonts w:ascii="Courier New" w:eastAsia="Times New Roman" w:hAnsi="Courier New" w:cs="Courier New"/>
          <w:noProof/>
          <w:sz w:val="16"/>
          <w:lang w:val="en-GB" w:eastAsia="en-GB"/>
        </w:rPr>
        <w:t xml:space="preserve">UEAssistanceInformation ::=         </w:t>
      </w:r>
      <w:r w:rsidRPr="0017046D">
        <w:rPr>
          <w:rFonts w:ascii="Courier New" w:eastAsia="Times New Roman" w:hAnsi="Courier New" w:cs="Courier New"/>
          <w:noProof/>
          <w:color w:val="993366"/>
          <w:sz w:val="16"/>
          <w:lang w:val="en-GB" w:eastAsia="en-GB"/>
        </w:rPr>
        <w:t>SEQUENCE</w:t>
      </w:r>
      <w:r w:rsidRPr="0017046D">
        <w:rPr>
          <w:rFonts w:ascii="Courier New" w:eastAsia="Times New Roman" w:hAnsi="Courier New" w:cs="Courier New"/>
          <w:noProof/>
          <w:sz w:val="16"/>
          <w:lang w:val="en-GB" w:eastAsia="en-GB"/>
        </w:rPr>
        <w:t xml:space="preserve"> {</w:t>
      </w:r>
    </w:p>
    <w:p w14:paraId="655DC8CC" w14:textId="77777777" w:rsidR="00BC4F3C" w:rsidRPr="00BC4F3C"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val="en-GB" w:eastAsia="zh-CN"/>
        </w:rPr>
      </w:pPr>
      <w:r>
        <w:rPr>
          <w:rFonts w:ascii="Courier New" w:eastAsiaTheme="minorEastAsia" w:hAnsi="Courier New" w:cs="Courier New" w:hint="eastAsia"/>
          <w:noProof/>
          <w:sz w:val="16"/>
          <w:lang w:val="en-GB" w:eastAsia="zh-CN"/>
        </w:rPr>
        <w:t>.</w:t>
      </w:r>
      <w:r>
        <w:rPr>
          <w:rFonts w:ascii="Courier New" w:eastAsiaTheme="minorEastAsia" w:hAnsi="Courier New" w:cs="Courier New"/>
          <w:noProof/>
          <w:sz w:val="16"/>
          <w:lang w:val="en-GB" w:eastAsia="zh-CN"/>
        </w:rPr>
        <w:t>..</w:t>
      </w:r>
    </w:p>
    <w:p w14:paraId="59ED2242" w14:textId="60DD8308" w:rsidR="00BC4F3C"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Pr>
          <w:rFonts w:ascii="Courier New" w:eastAsia="Times New Roman" w:hAnsi="Courier New" w:cs="Courier New"/>
          <w:noProof/>
          <w:sz w:val="16"/>
          <w:lang w:val="en-GB" w:eastAsia="en-GB"/>
        </w:rPr>
        <w:tab/>
      </w:r>
      <w:r w:rsidRPr="0017046D">
        <w:rPr>
          <w:rFonts w:ascii="Courier New" w:eastAsia="Times New Roman" w:hAnsi="Courier New" w:cs="Courier New"/>
          <w:noProof/>
          <w:sz w:val="16"/>
          <w:lang w:val="en-GB" w:eastAsia="en-GB"/>
        </w:rPr>
        <w:t>applicabilityReporting ApplicableFuncList</w:t>
      </w:r>
      <w:r w:rsidR="00FF438E">
        <w:rPr>
          <w:rFonts w:ascii="Courier New" w:eastAsia="Times New Roman" w:hAnsi="Courier New" w:cs="Courier New"/>
          <w:noProof/>
          <w:sz w:val="16"/>
          <w:lang w:val="en-GB" w:eastAsia="en-GB"/>
        </w:rPr>
        <w:t xml:space="preserve"> </w:t>
      </w:r>
      <w:r w:rsidR="00FF438E" w:rsidRPr="00FF438E">
        <w:rPr>
          <w:rFonts w:ascii="Courier New" w:eastAsia="Times New Roman" w:hAnsi="Courier New" w:cs="Courier New"/>
          <w:noProof/>
          <w:sz w:val="16"/>
          <w:lang w:val="en-GB" w:eastAsia="en-GB"/>
        </w:rPr>
        <w:t>OPTIONAL</w:t>
      </w:r>
      <w:r w:rsidR="00FF438E">
        <w:rPr>
          <w:rFonts w:ascii="Courier New" w:eastAsia="Times New Roman" w:hAnsi="Courier New" w:cs="Courier New"/>
          <w:noProof/>
          <w:sz w:val="16"/>
          <w:lang w:val="en-GB" w:eastAsia="en-GB"/>
        </w:rPr>
        <w:t>,</w:t>
      </w:r>
    </w:p>
    <w:p w14:paraId="79482A3F" w14:textId="77777777" w:rsidR="00BC4F3C" w:rsidRPr="00EF63EE"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val="en-GB" w:eastAsia="zh-CN"/>
        </w:rPr>
      </w:pPr>
      <w:r>
        <w:rPr>
          <w:rFonts w:ascii="Courier New" w:eastAsiaTheme="minorEastAsia" w:hAnsi="Courier New" w:cs="Courier New" w:hint="eastAsia"/>
          <w:noProof/>
          <w:sz w:val="16"/>
          <w:lang w:val="en-GB" w:eastAsia="zh-CN"/>
        </w:rPr>
        <w:t>.</w:t>
      </w:r>
      <w:r>
        <w:rPr>
          <w:rFonts w:ascii="Courier New" w:eastAsiaTheme="minorEastAsia" w:hAnsi="Courier New" w:cs="Courier New"/>
          <w:noProof/>
          <w:sz w:val="16"/>
          <w:lang w:val="en-GB" w:eastAsia="zh-CN"/>
        </w:rPr>
        <w:t>..</w:t>
      </w:r>
    </w:p>
    <w:p w14:paraId="60899EC8" w14:textId="77777777" w:rsidR="00BC4F3C" w:rsidRPr="0017046D"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17046D">
        <w:rPr>
          <w:rFonts w:ascii="Courier New" w:eastAsia="Times New Roman" w:hAnsi="Courier New" w:cs="Courier New"/>
          <w:noProof/>
          <w:sz w:val="16"/>
          <w:lang w:val="en-GB" w:eastAsia="en-GB"/>
        </w:rPr>
        <w:t>}</w:t>
      </w:r>
    </w:p>
    <w:p w14:paraId="1A9D4E14" w14:textId="77777777" w:rsidR="00BC4F3C" w:rsidRPr="0017046D"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p>
    <w:p w14:paraId="1FC90C91" w14:textId="77777777" w:rsidR="00BC4F3C" w:rsidRPr="0017046D"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r w:rsidRPr="0017046D">
        <w:rPr>
          <w:rFonts w:ascii="Courier New" w:eastAsia="Times New Roman" w:hAnsi="Courier New" w:cs="Courier New"/>
          <w:noProof/>
          <w:sz w:val="16"/>
          <w:lang w:val="en-GB" w:eastAsia="en-GB"/>
        </w:rPr>
        <w:t xml:space="preserve">ApplicableFuncList ::= </w:t>
      </w:r>
      <w:r w:rsidRPr="0017046D">
        <w:rPr>
          <w:rFonts w:ascii="Courier New" w:eastAsia="Times New Roman" w:hAnsi="Courier New" w:cs="Courier New"/>
          <w:noProof/>
          <w:color w:val="993366"/>
          <w:sz w:val="16"/>
          <w:lang w:val="en-GB" w:eastAsia="en-GB"/>
        </w:rPr>
        <w:t>SEQUENCE</w:t>
      </w:r>
      <w:r w:rsidRPr="0017046D">
        <w:rPr>
          <w:rFonts w:ascii="Courier New" w:eastAsia="Times New Roman" w:hAnsi="Courier New" w:cs="Courier New"/>
          <w:noProof/>
          <w:sz w:val="16"/>
          <w:lang w:val="en-GB" w:eastAsia="en-GB"/>
        </w:rPr>
        <w:t xml:space="preserve"> (</w:t>
      </w:r>
      <w:r w:rsidRPr="0017046D">
        <w:rPr>
          <w:rFonts w:ascii="Courier New" w:eastAsia="Times New Roman" w:hAnsi="Courier New" w:cs="Courier New"/>
          <w:noProof/>
          <w:color w:val="993366"/>
          <w:sz w:val="16"/>
          <w:lang w:val="en-GB" w:eastAsia="en-GB"/>
        </w:rPr>
        <w:t>SIZE</w:t>
      </w:r>
      <w:r w:rsidRPr="0017046D">
        <w:rPr>
          <w:rFonts w:ascii="Courier New" w:eastAsia="Times New Roman" w:hAnsi="Courier New" w:cs="Courier New"/>
          <w:noProof/>
          <w:sz w:val="16"/>
          <w:lang w:val="en-GB" w:eastAsia="en-GB"/>
        </w:rPr>
        <w:t xml:space="preserve"> (</w:t>
      </w:r>
      <w:r w:rsidRPr="00BC4F3C">
        <w:rPr>
          <w:rFonts w:ascii="Courier New" w:eastAsia="Times New Roman" w:hAnsi="Courier New" w:cs="Courier New"/>
          <w:noProof/>
          <w:sz w:val="16"/>
          <w:highlight w:val="yellow"/>
          <w:lang w:val="en-GB" w:eastAsia="en-GB"/>
        </w:rPr>
        <w:t>0</w:t>
      </w:r>
      <w:r w:rsidRPr="0017046D">
        <w:rPr>
          <w:rFonts w:ascii="Courier New" w:eastAsia="Times New Roman" w:hAnsi="Courier New" w:cs="Courier New"/>
          <w:noProof/>
          <w:sz w:val="16"/>
          <w:lang w:val="en-GB" w:eastAsia="en-GB"/>
        </w:rPr>
        <w:t>..maxApplicableFunc))</w:t>
      </w:r>
      <w:r w:rsidRPr="0017046D">
        <w:rPr>
          <w:rFonts w:ascii="Courier New" w:eastAsia="Times New Roman" w:hAnsi="Courier New" w:cs="Courier New"/>
          <w:noProof/>
          <w:color w:val="993366"/>
          <w:sz w:val="16"/>
          <w:lang w:val="en-GB" w:eastAsia="en-GB"/>
        </w:rPr>
        <w:t xml:space="preserve"> OF</w:t>
      </w:r>
      <w:r w:rsidRPr="0017046D">
        <w:rPr>
          <w:rFonts w:ascii="Courier New" w:eastAsia="Times New Roman" w:hAnsi="Courier New" w:cs="Courier New"/>
          <w:noProof/>
          <w:sz w:val="16"/>
          <w:lang w:val="en-GB" w:eastAsia="en-GB"/>
        </w:rPr>
        <w:t xml:space="preserve"> ApplicableFunc</w:t>
      </w:r>
      <w:r>
        <w:rPr>
          <w:rFonts w:ascii="Courier New" w:eastAsia="Times New Roman" w:hAnsi="Courier New" w:cs="Courier New"/>
          <w:noProof/>
          <w:sz w:val="16"/>
          <w:lang w:val="en-GB" w:eastAsia="en-GB"/>
        </w:rPr>
        <w:t>tionality</w:t>
      </w:r>
    </w:p>
    <w:p w14:paraId="7EF3CC19" w14:textId="77777777" w:rsidR="00BC4F3C" w:rsidRPr="0017046D" w:rsidRDefault="00BC4F3C" w:rsidP="00835E2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GB" w:eastAsia="en-GB"/>
        </w:rPr>
      </w:pPr>
    </w:p>
    <w:p w14:paraId="186A5C31" w14:textId="6D7BF892" w:rsidR="00A44260" w:rsidRDefault="001839FB" w:rsidP="00835E2C">
      <w:pPr>
        <w:spacing w:before="120" w:after="120" w:line="260" w:lineRule="exact"/>
        <w:jc w:val="both"/>
        <w:rPr>
          <w:lang w:eastAsia="zh-CN"/>
        </w:rPr>
      </w:pPr>
      <w:r>
        <w:rPr>
          <w:rFonts w:hint="eastAsia"/>
          <w:lang w:eastAsia="zh-CN"/>
        </w:rPr>
        <w:t>W</w:t>
      </w:r>
      <w:r>
        <w:rPr>
          <w:lang w:eastAsia="zh-CN"/>
        </w:rPr>
        <w:t xml:space="preserve">ith Alt1, functionality ID or </w:t>
      </w:r>
      <w:r w:rsidRPr="001839FB">
        <w:rPr>
          <w:lang w:eastAsia="zh-CN"/>
        </w:rPr>
        <w:t xml:space="preserve">functionality </w:t>
      </w:r>
      <w:r>
        <w:rPr>
          <w:lang w:eastAsia="zh-CN"/>
        </w:rPr>
        <w:t xml:space="preserve">index needs to be introduced to </w:t>
      </w:r>
      <w:r w:rsidR="008E06A1">
        <w:rPr>
          <w:lang w:eastAsia="zh-CN"/>
        </w:rPr>
        <w:t xml:space="preserve">identify the functionalities which need to be released. Compared with Alt2, the IE structure is a little more complex. The core difference of Alt1 and Alt2 is that Alt1 is delta signaling design and Alt2 is full-configuration-like signaling design. If the reporting is frequent, e.g., applicability status frequently changes, Alt1 can save the signaling overhead and be better. </w:t>
      </w:r>
    </w:p>
    <w:p w14:paraId="342D135D" w14:textId="754E0B5C" w:rsidR="002436F5" w:rsidRPr="00D91982" w:rsidRDefault="007C5D3E" w:rsidP="00835E2C">
      <w:pPr>
        <w:pStyle w:val="Proposal"/>
        <w:numPr>
          <w:ilvl w:val="0"/>
          <w:numId w:val="48"/>
        </w:numPr>
        <w:tabs>
          <w:tab w:val="clear" w:pos="1560"/>
          <w:tab w:val="left" w:pos="1701"/>
        </w:tabs>
        <w:overflowPunct w:val="0"/>
        <w:autoSpaceDE w:val="0"/>
        <w:autoSpaceDN w:val="0"/>
        <w:adjustRightInd w:val="0"/>
        <w:spacing w:after="120"/>
        <w:ind w:left="1701" w:hanging="1701"/>
        <w:jc w:val="both"/>
        <w:textAlignment w:val="baseline"/>
      </w:pPr>
      <w:r>
        <w:t>R</w:t>
      </w:r>
      <w:r w:rsidRPr="007C5D3E">
        <w:t>egarding the signaling design for applicability reporting</w:t>
      </w:r>
      <w:r>
        <w:t>, RAN2 considers the following two alternatives:</w:t>
      </w:r>
    </w:p>
    <w:p w14:paraId="642838A3" w14:textId="76301039" w:rsidR="007C5D3E" w:rsidRDefault="007C5D3E" w:rsidP="00EE4FE3">
      <w:pPr>
        <w:pStyle w:val="Proposal"/>
        <w:numPr>
          <w:ilvl w:val="0"/>
          <w:numId w:val="52"/>
        </w:numPr>
        <w:tabs>
          <w:tab w:val="clear" w:pos="1560"/>
          <w:tab w:val="left" w:pos="1701"/>
        </w:tabs>
        <w:overflowPunct w:val="0"/>
        <w:autoSpaceDE w:val="0"/>
        <w:autoSpaceDN w:val="0"/>
        <w:adjustRightInd w:val="0"/>
        <w:snapToGrid w:val="0"/>
        <w:spacing w:after="120"/>
        <w:jc w:val="both"/>
        <w:textAlignment w:val="baseline"/>
        <w:rPr>
          <w:rFonts w:eastAsiaTheme="minorEastAsia"/>
          <w:bCs/>
          <w:lang w:val="en-GB" w:eastAsia="zh-CN"/>
        </w:rPr>
      </w:pPr>
      <w:r w:rsidRPr="00EE4FE3">
        <w:rPr>
          <w:rFonts w:eastAsiaTheme="minorEastAsia"/>
          <w:bCs/>
          <w:lang w:val="en-GB" w:eastAsia="zh-CN"/>
        </w:rPr>
        <w:t xml:space="preserve">Alt1: For initial reporting, the UE reports the list of applicable functionalities. For subsequent reporting, the UE reports the change information (i.e., delta </w:t>
      </w:r>
      <w:proofErr w:type="spellStart"/>
      <w:r w:rsidRPr="00EE4FE3">
        <w:rPr>
          <w:rFonts w:eastAsiaTheme="minorEastAsia"/>
          <w:bCs/>
          <w:lang w:val="en-GB" w:eastAsia="zh-CN"/>
        </w:rPr>
        <w:t>signaling</w:t>
      </w:r>
      <w:proofErr w:type="spellEnd"/>
      <w:r w:rsidRPr="00EE4FE3">
        <w:rPr>
          <w:rFonts w:eastAsiaTheme="minorEastAsia"/>
          <w:bCs/>
          <w:lang w:val="en-GB" w:eastAsia="zh-CN"/>
        </w:rPr>
        <w:t xml:space="preserve"> using </w:t>
      </w:r>
      <w:proofErr w:type="spellStart"/>
      <w:r w:rsidRPr="00EE4FE3">
        <w:rPr>
          <w:rFonts w:eastAsiaTheme="minorEastAsia"/>
          <w:bCs/>
          <w:lang w:val="en-GB" w:eastAsia="zh-CN"/>
        </w:rPr>
        <w:t>ToAddList</w:t>
      </w:r>
      <w:proofErr w:type="spellEnd"/>
      <w:r w:rsidRPr="00EE4FE3">
        <w:rPr>
          <w:rFonts w:eastAsiaTheme="minorEastAsia"/>
          <w:bCs/>
          <w:lang w:val="en-GB" w:eastAsia="zh-CN"/>
        </w:rPr>
        <w:t xml:space="preserve"> and </w:t>
      </w:r>
      <w:proofErr w:type="spellStart"/>
      <w:r w:rsidRPr="00EE4FE3">
        <w:rPr>
          <w:rFonts w:eastAsiaTheme="minorEastAsia"/>
          <w:bCs/>
          <w:lang w:val="en-GB" w:eastAsia="zh-CN"/>
        </w:rPr>
        <w:t>ToReleaseList</w:t>
      </w:r>
      <w:proofErr w:type="spellEnd"/>
      <w:r w:rsidRPr="00EE4FE3">
        <w:rPr>
          <w:rFonts w:eastAsiaTheme="minorEastAsia"/>
          <w:bCs/>
          <w:lang w:val="en-GB" w:eastAsia="zh-CN"/>
        </w:rPr>
        <w:t xml:space="preserve"> structure). </w:t>
      </w:r>
    </w:p>
    <w:p w14:paraId="323A586B" w14:textId="63E05276" w:rsidR="00EE4FE3" w:rsidRPr="00EE4FE3" w:rsidRDefault="00EE4FE3" w:rsidP="00EE4FE3">
      <w:pPr>
        <w:pStyle w:val="Proposal"/>
        <w:numPr>
          <w:ilvl w:val="0"/>
          <w:numId w:val="52"/>
        </w:numPr>
        <w:tabs>
          <w:tab w:val="clear" w:pos="1560"/>
          <w:tab w:val="left" w:pos="1701"/>
        </w:tabs>
        <w:overflowPunct w:val="0"/>
        <w:autoSpaceDE w:val="0"/>
        <w:autoSpaceDN w:val="0"/>
        <w:adjustRightInd w:val="0"/>
        <w:snapToGrid w:val="0"/>
        <w:spacing w:after="120"/>
        <w:jc w:val="both"/>
        <w:textAlignment w:val="baseline"/>
        <w:rPr>
          <w:rFonts w:eastAsiaTheme="minorEastAsia"/>
          <w:bCs/>
          <w:lang w:val="en-GB" w:eastAsia="zh-CN"/>
        </w:rPr>
      </w:pPr>
      <w:r w:rsidRPr="00EE4FE3">
        <w:rPr>
          <w:rFonts w:eastAsiaTheme="minorEastAsia"/>
          <w:bCs/>
          <w:lang w:val="en-GB"/>
        </w:rPr>
        <w:t xml:space="preserve">Alt2: The UE always reports the (updated) list of applicable functionalities regardless of initial reporting, or subsequent reporting (i.e., full-configuration-like signaling). If there is no applicable functionality, the list can be set to zero element. </w:t>
      </w:r>
    </w:p>
    <w:p w14:paraId="45C45CB1" w14:textId="77777777" w:rsidR="002436F5" w:rsidRDefault="002436F5" w:rsidP="00835E2C">
      <w:pPr>
        <w:pStyle w:val="ListParagraph"/>
        <w:ind w:left="420" w:firstLineChars="0" w:firstLine="0"/>
      </w:pPr>
    </w:p>
    <w:p w14:paraId="36BA018E" w14:textId="0A51CE6E" w:rsidR="009F4779" w:rsidRPr="005A59C1" w:rsidRDefault="009F4779" w:rsidP="009F4779">
      <w:pPr>
        <w:pStyle w:val="Heading2"/>
        <w:numPr>
          <w:ilvl w:val="0"/>
          <w:numId w:val="0"/>
        </w:numPr>
        <w:rPr>
          <w:b w:val="0"/>
          <w:lang w:val="en-US"/>
        </w:rPr>
      </w:pPr>
      <w:r w:rsidRPr="005A59C1">
        <w:rPr>
          <w:b w:val="0"/>
          <w:lang w:val="en-US"/>
        </w:rPr>
        <w:lastRenderedPageBreak/>
        <w:t>2.</w:t>
      </w:r>
      <w:r>
        <w:rPr>
          <w:b w:val="0"/>
          <w:lang w:val="en-US"/>
        </w:rPr>
        <w:t>2</w:t>
      </w:r>
      <w:r w:rsidRPr="005A59C1">
        <w:rPr>
          <w:b w:val="0"/>
          <w:lang w:val="en-US"/>
        </w:rPr>
        <w:t xml:space="preserve"> </w:t>
      </w:r>
      <w:r>
        <w:rPr>
          <w:b w:val="0"/>
          <w:lang w:val="en-US"/>
        </w:rPr>
        <w:t>S</w:t>
      </w:r>
      <w:r w:rsidRPr="009F4779">
        <w:rPr>
          <w:b w:val="0"/>
          <w:lang w:val="en-US"/>
        </w:rPr>
        <w:t>ignalling to configure the UE for training</w:t>
      </w:r>
    </w:p>
    <w:p w14:paraId="0DA77B9D" w14:textId="6A6C6CDE" w:rsidR="005B5827" w:rsidRDefault="006D701E" w:rsidP="006D701E">
      <w:pPr>
        <w:jc w:val="both"/>
        <w:rPr>
          <w:lang w:eastAsia="zh-CN"/>
        </w:rPr>
      </w:pPr>
      <w:r w:rsidRPr="00400930">
        <w:rPr>
          <w:lang w:eastAsia="zh-CN"/>
        </w:rPr>
        <w:t xml:space="preserve">For </w:t>
      </w:r>
      <w:r w:rsidR="005F0021">
        <w:rPr>
          <w:lang w:eastAsia="zh-CN"/>
        </w:rPr>
        <w:t xml:space="preserve">the </w:t>
      </w:r>
      <w:r w:rsidRPr="00400930">
        <w:rPr>
          <w:lang w:eastAsia="zh-CN"/>
        </w:rPr>
        <w:t>training</w:t>
      </w:r>
      <w:r w:rsidR="005F0021">
        <w:rPr>
          <w:lang w:eastAsia="zh-CN"/>
        </w:rPr>
        <w:t xml:space="preserve"> of the UE-sided model</w:t>
      </w:r>
      <w:r w:rsidRPr="00400930">
        <w:rPr>
          <w:lang w:eastAsia="zh-CN"/>
        </w:rPr>
        <w:t xml:space="preserve">, </w:t>
      </w:r>
      <w:r w:rsidR="00862721">
        <w:rPr>
          <w:lang w:eastAsia="zh-CN"/>
        </w:rPr>
        <w:t xml:space="preserve">the UE needs to obtain </w:t>
      </w:r>
      <w:r w:rsidR="00AD3029">
        <w:rPr>
          <w:lang w:eastAsia="zh-CN"/>
        </w:rPr>
        <w:t xml:space="preserve">the training configuration (e.g., </w:t>
      </w:r>
      <w:r w:rsidR="00862721">
        <w:rPr>
          <w:lang w:eastAsia="zh-CN"/>
        </w:rPr>
        <w:t>associated ID</w:t>
      </w:r>
      <w:r w:rsidR="00AD3029">
        <w:rPr>
          <w:lang w:eastAsia="zh-CN"/>
        </w:rPr>
        <w:t>(s)</w:t>
      </w:r>
      <w:r w:rsidR="00905BA9">
        <w:rPr>
          <w:rFonts w:hint="eastAsia"/>
          <w:lang w:eastAsia="zh-CN"/>
        </w:rPr>
        <w:t>,</w:t>
      </w:r>
      <w:r w:rsidR="00905BA9">
        <w:rPr>
          <w:lang w:eastAsia="zh-CN"/>
        </w:rPr>
        <w:t xml:space="preserve"> CSI-RS configuration for </w:t>
      </w:r>
      <w:proofErr w:type="spellStart"/>
      <w:r w:rsidR="00905BA9">
        <w:rPr>
          <w:lang w:eastAsia="zh-CN"/>
        </w:rPr>
        <w:t>taining</w:t>
      </w:r>
      <w:proofErr w:type="spellEnd"/>
      <w:r w:rsidR="00AD3029">
        <w:rPr>
          <w:lang w:eastAsia="zh-CN"/>
        </w:rPr>
        <w:t>)</w:t>
      </w:r>
      <w:r w:rsidR="00862721">
        <w:rPr>
          <w:lang w:eastAsia="zh-CN"/>
        </w:rPr>
        <w:t xml:space="preserve"> of the serving cell. </w:t>
      </w:r>
      <w:r w:rsidR="005B5827">
        <w:rPr>
          <w:lang w:eastAsia="zh-CN"/>
        </w:rPr>
        <w:t xml:space="preserve">For beam management use case, the UE is in connected state when collecting the training data. Therefore, there may be two possible </w:t>
      </w:r>
      <w:r w:rsidR="007C5D3E">
        <w:rPr>
          <w:lang w:eastAsia="zh-CN"/>
        </w:rPr>
        <w:t>approaches</w:t>
      </w:r>
      <w:r w:rsidR="005B5827">
        <w:rPr>
          <w:lang w:eastAsia="zh-CN"/>
        </w:rPr>
        <w:t xml:space="preserve"> to obtain the</w:t>
      </w:r>
      <w:r w:rsidR="00AD3029" w:rsidRPr="00AD3029">
        <w:rPr>
          <w:lang w:eastAsia="zh-CN"/>
        </w:rPr>
        <w:t xml:space="preserve"> </w:t>
      </w:r>
      <w:r w:rsidR="00AD3029">
        <w:rPr>
          <w:lang w:eastAsia="zh-CN"/>
        </w:rPr>
        <w:t>training configuration</w:t>
      </w:r>
      <w:r w:rsidR="005B5827">
        <w:rPr>
          <w:lang w:eastAsia="zh-CN"/>
        </w:rPr>
        <w:t xml:space="preserve"> of the serving cell:</w:t>
      </w:r>
    </w:p>
    <w:p w14:paraId="7D0B830D" w14:textId="2331D360" w:rsidR="005B5827" w:rsidRPr="007432FA" w:rsidRDefault="007C5D3E" w:rsidP="006368DE">
      <w:pPr>
        <w:pStyle w:val="ListParagraph"/>
        <w:numPr>
          <w:ilvl w:val="0"/>
          <w:numId w:val="40"/>
        </w:numPr>
        <w:ind w:firstLineChars="0"/>
      </w:pPr>
      <w:r>
        <w:rPr>
          <w:rFonts w:ascii="Times New Roman" w:hAnsi="Times New Roman"/>
          <w:sz w:val="20"/>
          <w:szCs w:val="20"/>
        </w:rPr>
        <w:t>Approach</w:t>
      </w:r>
      <w:r w:rsidR="00FC0562">
        <w:rPr>
          <w:rFonts w:ascii="Times New Roman" w:hAnsi="Times New Roman"/>
          <w:sz w:val="20"/>
          <w:szCs w:val="20"/>
        </w:rPr>
        <w:t xml:space="preserve"> </w:t>
      </w:r>
      <w:r w:rsidR="005B5827" w:rsidRPr="007432FA">
        <w:rPr>
          <w:rFonts w:ascii="Times New Roman" w:hAnsi="Times New Roman"/>
          <w:sz w:val="20"/>
          <w:szCs w:val="20"/>
        </w:rPr>
        <w:t>1: via the system information of the serving cell</w:t>
      </w:r>
    </w:p>
    <w:p w14:paraId="6835AAB2" w14:textId="1A4C4480" w:rsidR="00AD3029" w:rsidRDefault="00B71C12" w:rsidP="00AD3029">
      <w:pPr>
        <w:spacing w:before="240"/>
        <w:jc w:val="center"/>
      </w:pPr>
      <w:r>
        <w:object w:dxaOrig="7104" w:dyaOrig="2353" w14:anchorId="7CD47E27">
          <v:shape id="_x0000_i1026" type="#_x0000_t75" style="width:290.3pt;height:96pt" o:ole="">
            <v:imagedata r:id="rId14" o:title=""/>
          </v:shape>
          <o:OLEObject Type="Embed" ProgID="Visio.Drawing.15" ShapeID="_x0000_i1026" DrawAspect="Content" ObjectID="_1792590421" r:id="rId15"/>
        </w:object>
      </w:r>
    </w:p>
    <w:p w14:paraId="20455A0B" w14:textId="3F3E4116" w:rsidR="00AD3029" w:rsidRPr="002F6DA9" w:rsidRDefault="00AD3029" w:rsidP="00AD3029">
      <w:pPr>
        <w:pStyle w:val="TF"/>
        <w:rPr>
          <w:rFonts w:ascii="Times New Roman" w:eastAsia="MS Mincho" w:hAnsi="Times New Roman"/>
          <w:lang w:val="en-GB"/>
        </w:rPr>
      </w:pPr>
      <w:r w:rsidRPr="002F6DA9">
        <w:rPr>
          <w:rFonts w:ascii="Times New Roman" w:eastAsia="MS Mincho" w:hAnsi="Times New Roman"/>
          <w:lang w:val="en-GB"/>
        </w:rPr>
        <w:t>Figure</w:t>
      </w:r>
      <w:r w:rsidRPr="002F6DA9">
        <w:rPr>
          <w:rFonts w:ascii="Times New Roman" w:eastAsiaTheme="minorEastAsia" w:hAnsi="Times New Roman"/>
          <w:lang w:val="en-GB" w:eastAsia="zh-CN"/>
        </w:rPr>
        <w:t xml:space="preserve"> </w:t>
      </w:r>
      <w:r>
        <w:rPr>
          <w:rFonts w:ascii="Times New Roman" w:eastAsiaTheme="minorEastAsia" w:hAnsi="Times New Roman"/>
          <w:lang w:val="en-GB" w:eastAsia="zh-CN"/>
        </w:rPr>
        <w:t>2</w:t>
      </w:r>
      <w:r w:rsidRPr="002F6DA9">
        <w:rPr>
          <w:rFonts w:ascii="Times New Roman" w:eastAsia="MS Mincho" w:hAnsi="Times New Roman"/>
          <w:lang w:val="en-GB"/>
        </w:rPr>
        <w:t xml:space="preserve">: </w:t>
      </w:r>
      <w:r>
        <w:rPr>
          <w:rFonts w:ascii="Times New Roman" w:eastAsia="MS Mincho" w:hAnsi="Times New Roman"/>
          <w:lang w:val="en-GB"/>
        </w:rPr>
        <w:t>via system information</w:t>
      </w:r>
    </w:p>
    <w:p w14:paraId="5E29C67B" w14:textId="27A20692" w:rsidR="005B5827" w:rsidRPr="007432FA" w:rsidRDefault="007C5D3E" w:rsidP="006368DE">
      <w:pPr>
        <w:pStyle w:val="ListParagraph"/>
        <w:numPr>
          <w:ilvl w:val="0"/>
          <w:numId w:val="41"/>
        </w:numPr>
        <w:ind w:firstLineChars="0"/>
      </w:pPr>
      <w:r>
        <w:rPr>
          <w:rFonts w:ascii="Times New Roman" w:hAnsi="Times New Roman"/>
          <w:sz w:val="20"/>
          <w:szCs w:val="20"/>
        </w:rPr>
        <w:t>Approach</w:t>
      </w:r>
      <w:r w:rsidR="00FC0562">
        <w:rPr>
          <w:rFonts w:ascii="Times New Roman" w:hAnsi="Times New Roman"/>
          <w:sz w:val="20"/>
          <w:szCs w:val="20"/>
        </w:rPr>
        <w:t xml:space="preserve"> </w:t>
      </w:r>
      <w:r w:rsidR="005B5827" w:rsidRPr="007432FA">
        <w:rPr>
          <w:rFonts w:ascii="Times New Roman" w:hAnsi="Times New Roman"/>
          <w:sz w:val="20"/>
          <w:szCs w:val="20"/>
        </w:rPr>
        <w:t>2: via the RRC dedicated signaling, e.g., after request</w:t>
      </w:r>
      <w:r w:rsidR="004F2D03">
        <w:rPr>
          <w:rFonts w:ascii="Times New Roman" w:hAnsi="Times New Roman"/>
          <w:sz w:val="20"/>
          <w:szCs w:val="20"/>
        </w:rPr>
        <w:t>ed</w:t>
      </w:r>
      <w:r w:rsidR="005B5827" w:rsidRPr="007432FA">
        <w:rPr>
          <w:rFonts w:ascii="Times New Roman" w:hAnsi="Times New Roman"/>
          <w:sz w:val="20"/>
          <w:szCs w:val="20"/>
        </w:rPr>
        <w:t xml:space="preserve"> by the UE</w:t>
      </w:r>
    </w:p>
    <w:p w14:paraId="365DA421" w14:textId="08A0DFE3" w:rsidR="00AD3029" w:rsidRDefault="00FC0562" w:rsidP="007432FA">
      <w:pPr>
        <w:spacing w:before="240"/>
        <w:jc w:val="center"/>
      </w:pPr>
      <w:r>
        <w:object w:dxaOrig="7110" w:dyaOrig="2925" w14:anchorId="2C921766">
          <v:shape id="_x0000_i1027" type="#_x0000_t75" style="width:294.3pt;height:122.3pt" o:ole="">
            <v:imagedata r:id="rId16" o:title=""/>
          </v:shape>
          <o:OLEObject Type="Embed" ProgID="Visio.Drawing.15" ShapeID="_x0000_i1027" DrawAspect="Content" ObjectID="_1792590422" r:id="rId17"/>
        </w:object>
      </w:r>
    </w:p>
    <w:p w14:paraId="416E5650" w14:textId="791F0AF9" w:rsidR="00AD3029" w:rsidRPr="002F6DA9" w:rsidRDefault="00AD3029" w:rsidP="006368DE">
      <w:pPr>
        <w:pStyle w:val="TF"/>
        <w:ind w:left="420"/>
        <w:rPr>
          <w:rFonts w:ascii="Times New Roman" w:eastAsia="MS Mincho" w:hAnsi="Times New Roman"/>
          <w:lang w:val="en-GB"/>
        </w:rPr>
      </w:pPr>
      <w:r w:rsidRPr="002F6DA9">
        <w:rPr>
          <w:rFonts w:ascii="Times New Roman" w:eastAsia="MS Mincho" w:hAnsi="Times New Roman"/>
          <w:lang w:val="en-GB"/>
        </w:rPr>
        <w:t>Figure</w:t>
      </w:r>
      <w:r w:rsidRPr="002F6DA9">
        <w:rPr>
          <w:rFonts w:ascii="Times New Roman" w:eastAsiaTheme="minorEastAsia" w:hAnsi="Times New Roman"/>
          <w:lang w:val="en-GB" w:eastAsia="zh-CN"/>
        </w:rPr>
        <w:t xml:space="preserve"> </w:t>
      </w:r>
      <w:r>
        <w:rPr>
          <w:rFonts w:ascii="Times New Roman" w:eastAsiaTheme="minorEastAsia" w:hAnsi="Times New Roman"/>
          <w:lang w:val="en-GB" w:eastAsia="zh-CN"/>
        </w:rPr>
        <w:t>3</w:t>
      </w:r>
      <w:r w:rsidRPr="002F6DA9">
        <w:rPr>
          <w:rFonts w:ascii="Times New Roman" w:eastAsia="MS Mincho" w:hAnsi="Times New Roman"/>
          <w:lang w:val="en-GB"/>
        </w:rPr>
        <w:t xml:space="preserve">: </w:t>
      </w:r>
      <w:r>
        <w:rPr>
          <w:rFonts w:ascii="Times New Roman" w:eastAsia="MS Mincho" w:hAnsi="Times New Roman"/>
          <w:lang w:val="en-GB"/>
        </w:rPr>
        <w:t>via RRC dedicated signaling</w:t>
      </w:r>
    </w:p>
    <w:p w14:paraId="68CA65E1" w14:textId="4C093DCC" w:rsidR="00D778F7" w:rsidRDefault="0054287E" w:rsidP="007432FA">
      <w:pPr>
        <w:spacing w:before="240"/>
        <w:jc w:val="both"/>
        <w:rPr>
          <w:lang w:eastAsia="zh-CN"/>
        </w:rPr>
      </w:pPr>
      <w:r>
        <w:rPr>
          <w:rFonts w:hint="eastAsia"/>
          <w:lang w:eastAsia="zh-CN"/>
        </w:rPr>
        <w:t>F</w:t>
      </w:r>
      <w:r>
        <w:rPr>
          <w:lang w:eastAsia="zh-CN"/>
        </w:rPr>
        <w:t xml:space="preserve">or positioning feature, the network can broadcast the positioning assistance information via the </w:t>
      </w:r>
      <w:proofErr w:type="spellStart"/>
      <w:r>
        <w:rPr>
          <w:lang w:eastAsia="zh-CN"/>
        </w:rPr>
        <w:t>posSIBs</w:t>
      </w:r>
      <w:proofErr w:type="spellEnd"/>
      <w:r>
        <w:rPr>
          <w:lang w:eastAsia="zh-CN"/>
        </w:rPr>
        <w:t>, or the network can send the related information via dedicated signaling. Similar to positioning feature, we think that both of the above two approaches should be supported and it is left to network implementation to support which one or both.</w:t>
      </w:r>
    </w:p>
    <w:p w14:paraId="7C1F1AB2" w14:textId="1AE27163" w:rsidR="002F55D7" w:rsidRDefault="002F55D7" w:rsidP="002F55D7">
      <w:pPr>
        <w:jc w:val="both"/>
        <w:rPr>
          <w:lang w:eastAsia="zh-CN"/>
        </w:rPr>
      </w:pPr>
      <w:r>
        <w:rPr>
          <w:rFonts w:hint="eastAsia"/>
          <w:lang w:eastAsia="zh-CN"/>
        </w:rPr>
        <w:t>W</w:t>
      </w:r>
      <w:r>
        <w:rPr>
          <w:lang w:eastAsia="zh-CN"/>
        </w:rPr>
        <w:t xml:space="preserve">ith Approach 1, it is up to </w:t>
      </w:r>
      <w:r w:rsidR="00DD17BA">
        <w:rPr>
          <w:lang w:eastAsia="zh-CN"/>
        </w:rPr>
        <w:t xml:space="preserve">NW implementation whether to broadcast the </w:t>
      </w:r>
      <w:r w:rsidR="00DD17BA" w:rsidRPr="00DD17BA">
        <w:rPr>
          <w:lang w:eastAsia="zh-CN"/>
        </w:rPr>
        <w:t>training configuration</w:t>
      </w:r>
      <w:r w:rsidR="00DD17BA">
        <w:rPr>
          <w:lang w:eastAsia="zh-CN"/>
        </w:rPr>
        <w:t>.</w:t>
      </w:r>
    </w:p>
    <w:p w14:paraId="19949E3E" w14:textId="3BD331FE" w:rsidR="002F55D7" w:rsidRDefault="002F55D7" w:rsidP="002F55D7">
      <w:pPr>
        <w:jc w:val="both"/>
        <w:rPr>
          <w:lang w:eastAsia="zh-CN"/>
        </w:rPr>
      </w:pPr>
      <w:r>
        <w:rPr>
          <w:lang w:eastAsia="zh-CN"/>
        </w:rPr>
        <w:t xml:space="preserve">With Approach 2, it is </w:t>
      </w:r>
      <w:r w:rsidRPr="002F55D7">
        <w:rPr>
          <w:lang w:eastAsia="zh-CN"/>
        </w:rPr>
        <w:t>FFS how the NW determines whether data collection should be initiated</w:t>
      </w:r>
      <w:r>
        <w:rPr>
          <w:lang w:eastAsia="zh-CN"/>
        </w:rPr>
        <w:t xml:space="preserve">. We think that at least UE direct request can be supported to trigger the NW sending the </w:t>
      </w:r>
      <w:r w:rsidRPr="002F55D7">
        <w:rPr>
          <w:lang w:eastAsia="zh-CN"/>
        </w:rPr>
        <w:t>training configuration</w:t>
      </w:r>
      <w:r>
        <w:rPr>
          <w:lang w:eastAsia="zh-CN"/>
        </w:rPr>
        <w:t>. For other cases, it can be left to NW implementation or there is no specification impact</w:t>
      </w:r>
      <w:r w:rsidR="001D54EF">
        <w:rPr>
          <w:lang w:eastAsia="zh-CN"/>
        </w:rPr>
        <w:t xml:space="preserve"> (e.g., UE server request)</w:t>
      </w:r>
      <w:r>
        <w:rPr>
          <w:lang w:eastAsia="zh-CN"/>
        </w:rPr>
        <w:t xml:space="preserve">. Therefore, RAN2 does not need discuss </w:t>
      </w:r>
      <w:r w:rsidR="001D54EF">
        <w:rPr>
          <w:lang w:eastAsia="zh-CN"/>
        </w:rPr>
        <w:t>them</w:t>
      </w:r>
      <w:r>
        <w:rPr>
          <w:lang w:eastAsia="zh-CN"/>
        </w:rPr>
        <w:t>.</w:t>
      </w:r>
    </w:p>
    <w:p w14:paraId="75254614" w14:textId="77777777" w:rsidR="00D91982" w:rsidRDefault="005B5827" w:rsidP="00E90418">
      <w:pPr>
        <w:pStyle w:val="Proposal"/>
        <w:numPr>
          <w:ilvl w:val="0"/>
          <w:numId w:val="48"/>
        </w:numPr>
        <w:tabs>
          <w:tab w:val="clear" w:pos="1560"/>
          <w:tab w:val="left" w:pos="1701"/>
        </w:tabs>
        <w:overflowPunct w:val="0"/>
        <w:autoSpaceDE w:val="0"/>
        <w:autoSpaceDN w:val="0"/>
        <w:adjustRightInd w:val="0"/>
        <w:spacing w:after="120"/>
        <w:ind w:left="1701" w:hanging="1701"/>
        <w:jc w:val="both"/>
        <w:textAlignment w:val="baseline"/>
      </w:pPr>
      <w:r>
        <w:t xml:space="preserve">For </w:t>
      </w:r>
      <w:r w:rsidR="0054287E">
        <w:t>the s</w:t>
      </w:r>
      <w:r w:rsidR="0054287E" w:rsidRPr="0054287E">
        <w:t>ignaling to configure the UE for training</w:t>
      </w:r>
      <w:r>
        <w:t xml:space="preserve">, </w:t>
      </w:r>
      <w:r w:rsidR="0054287E">
        <w:t xml:space="preserve">support </w:t>
      </w:r>
      <w:r w:rsidR="004C6F39">
        <w:t>both two</w:t>
      </w:r>
      <w:r w:rsidR="0054287E">
        <w:t xml:space="preserve"> approaches: </w:t>
      </w:r>
    </w:p>
    <w:p w14:paraId="05FD1449" w14:textId="6A8A16E9" w:rsidR="00D91982" w:rsidRDefault="0054287E" w:rsidP="00D91982">
      <w:pPr>
        <w:pStyle w:val="Proposal"/>
        <w:numPr>
          <w:ilvl w:val="0"/>
          <w:numId w:val="54"/>
        </w:numPr>
        <w:tabs>
          <w:tab w:val="clear" w:pos="1560"/>
          <w:tab w:val="left" w:pos="1701"/>
        </w:tabs>
        <w:overflowPunct w:val="0"/>
        <w:autoSpaceDE w:val="0"/>
        <w:autoSpaceDN w:val="0"/>
        <w:adjustRightInd w:val="0"/>
        <w:spacing w:after="120"/>
        <w:jc w:val="both"/>
        <w:textAlignment w:val="baseline"/>
      </w:pPr>
      <w:r w:rsidRPr="0054287E">
        <w:t>NW broadcasts the UE collection configuration</w:t>
      </w:r>
      <w:r w:rsidR="004C6F39">
        <w:t xml:space="preserve">; </w:t>
      </w:r>
    </w:p>
    <w:p w14:paraId="462B870B" w14:textId="77777777" w:rsidR="00AD3F2A" w:rsidRDefault="0054287E" w:rsidP="00D91982">
      <w:pPr>
        <w:pStyle w:val="Proposal"/>
        <w:numPr>
          <w:ilvl w:val="0"/>
          <w:numId w:val="54"/>
        </w:numPr>
        <w:tabs>
          <w:tab w:val="clear" w:pos="1560"/>
          <w:tab w:val="left" w:pos="1701"/>
        </w:tabs>
        <w:overflowPunct w:val="0"/>
        <w:autoSpaceDE w:val="0"/>
        <w:autoSpaceDN w:val="0"/>
        <w:adjustRightInd w:val="0"/>
        <w:spacing w:after="120"/>
        <w:jc w:val="both"/>
        <w:textAlignment w:val="baseline"/>
      </w:pPr>
      <w:r w:rsidRPr="0054287E">
        <w:t>NW send</w:t>
      </w:r>
      <w:r w:rsidR="004C6F39">
        <w:t>s</w:t>
      </w:r>
      <w:r w:rsidRPr="0054287E">
        <w:t xml:space="preserve"> the collection configuration to the UE via dedicated signaling after receiving UE’s </w:t>
      </w:r>
      <w:r>
        <w:t xml:space="preserve">direct </w:t>
      </w:r>
      <w:r w:rsidRPr="0054287E">
        <w:t>request</w:t>
      </w:r>
      <w:r w:rsidR="005B5827">
        <w:t>.</w:t>
      </w:r>
      <w:r w:rsidR="004C6F39">
        <w:t xml:space="preserve"> </w:t>
      </w:r>
    </w:p>
    <w:p w14:paraId="3683BE35" w14:textId="338310E2" w:rsidR="005B5827" w:rsidRPr="00835E2C" w:rsidRDefault="004C6F39" w:rsidP="00AD3F2A">
      <w:pPr>
        <w:pStyle w:val="Proposal"/>
        <w:tabs>
          <w:tab w:val="clear" w:pos="1560"/>
          <w:tab w:val="left" w:pos="1701"/>
        </w:tabs>
        <w:overflowPunct w:val="0"/>
        <w:autoSpaceDE w:val="0"/>
        <w:autoSpaceDN w:val="0"/>
        <w:adjustRightInd w:val="0"/>
        <w:spacing w:after="120"/>
        <w:ind w:left="1701"/>
        <w:jc w:val="both"/>
        <w:textAlignment w:val="baseline"/>
      </w:pPr>
      <w:r>
        <w:t>I</w:t>
      </w:r>
      <w:r w:rsidRPr="004C6F39">
        <w:t>t is left to network implementation to support which one or both.</w:t>
      </w:r>
    </w:p>
    <w:p w14:paraId="39F98E89" w14:textId="77777777" w:rsidR="0054287E" w:rsidRDefault="0054287E" w:rsidP="0054287E">
      <w:pPr>
        <w:spacing w:before="240"/>
        <w:jc w:val="both"/>
        <w:rPr>
          <w:lang w:eastAsia="zh-CN"/>
        </w:rPr>
      </w:pP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7F690595" w:rsidR="0021120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sidR="00EA1CBB">
        <w:rPr>
          <w:rFonts w:eastAsiaTheme="minorEastAsia"/>
          <w:szCs w:val="21"/>
          <w:lang w:eastAsia="zh-CN"/>
        </w:rPr>
        <w:t xml:space="preserve">observations and </w:t>
      </w:r>
      <w:r w:rsidRPr="005A59C1">
        <w:rPr>
          <w:rFonts w:eastAsiaTheme="minorEastAsia"/>
          <w:szCs w:val="21"/>
          <w:lang w:eastAsia="zh-CN"/>
        </w:rPr>
        <w:t>proposals:</w:t>
      </w:r>
    </w:p>
    <w:p w14:paraId="7B082B19" w14:textId="32E4217B" w:rsidR="009F4779" w:rsidRPr="0023303F" w:rsidRDefault="004F4BE8" w:rsidP="00666618">
      <w:pPr>
        <w:spacing w:beforeLines="50" w:before="120" w:after="120" w:line="260" w:lineRule="exact"/>
        <w:jc w:val="both"/>
        <w:rPr>
          <w:rFonts w:eastAsiaTheme="minorEastAsia"/>
          <w:b/>
          <w:bCs/>
          <w:i/>
          <w:iCs/>
          <w:color w:val="FF0000"/>
          <w:szCs w:val="21"/>
          <w:u w:val="single"/>
          <w:lang w:eastAsia="zh-CN"/>
        </w:rPr>
      </w:pPr>
      <w:r w:rsidRPr="0023303F">
        <w:rPr>
          <w:rFonts w:eastAsiaTheme="minorEastAsia"/>
          <w:b/>
          <w:bCs/>
          <w:i/>
          <w:iCs/>
          <w:color w:val="FF0000"/>
          <w:szCs w:val="21"/>
          <w:u w:val="single"/>
          <w:lang w:eastAsia="zh-CN"/>
        </w:rPr>
        <w:lastRenderedPageBreak/>
        <w:t>Applicability reporting</w:t>
      </w:r>
    </w:p>
    <w:p w14:paraId="187EA14B" w14:textId="67E368DE" w:rsidR="00905BA9" w:rsidRPr="00590FAE" w:rsidRDefault="00905BA9" w:rsidP="00835E2C">
      <w:pPr>
        <w:pStyle w:val="Observation"/>
        <w:numPr>
          <w:ilvl w:val="0"/>
          <w:numId w:val="51"/>
        </w:numPr>
        <w:tabs>
          <w:tab w:val="left" w:pos="1701"/>
        </w:tabs>
        <w:overflowPunct w:val="0"/>
        <w:autoSpaceDE w:val="0"/>
        <w:autoSpaceDN w:val="0"/>
        <w:adjustRightInd w:val="0"/>
        <w:spacing w:before="180" w:after="180"/>
        <w:ind w:leftChars="0" w:left="1701" w:hanging="1701"/>
        <w:jc w:val="both"/>
        <w:textAlignment w:val="baseline"/>
        <w:rPr>
          <w:lang w:val="en-GB"/>
        </w:rPr>
      </w:pPr>
      <w:r w:rsidRPr="00590FAE">
        <w:rPr>
          <w:color w:val="auto"/>
          <w:szCs w:val="20"/>
          <w:lang w:val="en-GB"/>
        </w:rPr>
        <w:t xml:space="preserve">If reporting of neighbouring cell’s applicability is supported and is reported after handover decision, the handover failure rate will increase. </w:t>
      </w:r>
    </w:p>
    <w:p w14:paraId="19DC36C7" w14:textId="1A3B0B21" w:rsidR="00905BA9" w:rsidRPr="00590FAE" w:rsidRDefault="00905BA9" w:rsidP="00835E2C">
      <w:pPr>
        <w:pStyle w:val="Observation"/>
        <w:numPr>
          <w:ilvl w:val="0"/>
          <w:numId w:val="51"/>
        </w:numPr>
        <w:tabs>
          <w:tab w:val="left" w:pos="1701"/>
        </w:tabs>
        <w:overflowPunct w:val="0"/>
        <w:autoSpaceDE w:val="0"/>
        <w:autoSpaceDN w:val="0"/>
        <w:adjustRightInd w:val="0"/>
        <w:spacing w:before="180" w:after="180"/>
        <w:ind w:leftChars="0" w:left="1701" w:hanging="1701"/>
        <w:jc w:val="both"/>
        <w:textAlignment w:val="baseline"/>
        <w:rPr>
          <w:lang w:val="en-GB"/>
        </w:rPr>
      </w:pPr>
      <w:r w:rsidRPr="00590FAE">
        <w:rPr>
          <w:color w:val="auto"/>
          <w:szCs w:val="20"/>
          <w:lang w:val="en-GB"/>
        </w:rPr>
        <w:t>If reporting of neighbouring cell’s applicability is supported and is reported before handover decision, the signaling overhead will increase significantly because applicability status associated with all the potential target cells needs to be reported and the applicability status change of any functionality of any cell</w:t>
      </w:r>
      <w:r w:rsidRPr="00590FAE" w:rsidDel="00974F42">
        <w:rPr>
          <w:color w:val="auto"/>
          <w:szCs w:val="20"/>
          <w:lang w:val="en-GB"/>
        </w:rPr>
        <w:t xml:space="preserve"> </w:t>
      </w:r>
      <w:r w:rsidRPr="00590FAE">
        <w:rPr>
          <w:color w:val="auto"/>
          <w:szCs w:val="20"/>
          <w:lang w:val="en-GB"/>
        </w:rPr>
        <w:t xml:space="preserve">will trigger the UAI message. </w:t>
      </w:r>
    </w:p>
    <w:p w14:paraId="6B503B66" w14:textId="6626BBD7" w:rsidR="00905BA9" w:rsidRPr="00590FAE" w:rsidRDefault="00905BA9" w:rsidP="00835E2C">
      <w:pPr>
        <w:pStyle w:val="Observation"/>
        <w:numPr>
          <w:ilvl w:val="0"/>
          <w:numId w:val="51"/>
        </w:numPr>
        <w:tabs>
          <w:tab w:val="left" w:pos="1701"/>
        </w:tabs>
        <w:overflowPunct w:val="0"/>
        <w:autoSpaceDE w:val="0"/>
        <w:autoSpaceDN w:val="0"/>
        <w:adjustRightInd w:val="0"/>
        <w:spacing w:before="180" w:after="180"/>
        <w:ind w:leftChars="0" w:left="1701" w:hanging="1701"/>
        <w:jc w:val="both"/>
        <w:textAlignment w:val="baseline"/>
        <w:rPr>
          <w:lang w:val="en-GB"/>
        </w:rPr>
      </w:pPr>
      <w:r w:rsidRPr="00590FAE">
        <w:rPr>
          <w:color w:val="auto"/>
          <w:szCs w:val="20"/>
          <w:lang w:val="en-GB"/>
        </w:rPr>
        <w:t>If reporting of neighbouring cell’s applicability is supported, extra inter-node interaction is needed, which will require RAN3 involvement.</w:t>
      </w:r>
    </w:p>
    <w:p w14:paraId="2493696B" w14:textId="7701128D" w:rsidR="00905BA9" w:rsidRPr="00590FAE" w:rsidRDefault="00905BA9" w:rsidP="00835E2C">
      <w:pPr>
        <w:pStyle w:val="Observation"/>
        <w:numPr>
          <w:ilvl w:val="0"/>
          <w:numId w:val="51"/>
        </w:numPr>
        <w:tabs>
          <w:tab w:val="left" w:pos="1701"/>
        </w:tabs>
        <w:overflowPunct w:val="0"/>
        <w:autoSpaceDE w:val="0"/>
        <w:autoSpaceDN w:val="0"/>
        <w:adjustRightInd w:val="0"/>
        <w:spacing w:before="180" w:after="180"/>
        <w:ind w:leftChars="0" w:left="1701" w:hanging="1701"/>
        <w:jc w:val="both"/>
        <w:textAlignment w:val="baseline"/>
        <w:rPr>
          <w:lang w:val="en-GB"/>
        </w:rPr>
      </w:pPr>
      <w:r w:rsidRPr="00590FAE">
        <w:rPr>
          <w:color w:val="auto"/>
          <w:szCs w:val="20"/>
          <w:lang w:val="en-GB"/>
        </w:rPr>
        <w:t xml:space="preserve">The UE can send the applicability reporting to target cell in the </w:t>
      </w:r>
      <w:proofErr w:type="spellStart"/>
      <w:r w:rsidRPr="00590FAE">
        <w:rPr>
          <w:i/>
          <w:iCs/>
          <w:color w:val="auto"/>
          <w:szCs w:val="20"/>
          <w:lang w:val="en-GB"/>
        </w:rPr>
        <w:t>RRCReconfigurationComplete</w:t>
      </w:r>
      <w:proofErr w:type="spellEnd"/>
      <w:r w:rsidRPr="00590FAE">
        <w:rPr>
          <w:i/>
          <w:iCs/>
          <w:color w:val="auto"/>
          <w:szCs w:val="20"/>
          <w:lang w:val="en-GB"/>
        </w:rPr>
        <w:t xml:space="preserve"> message</w:t>
      </w:r>
      <w:r w:rsidRPr="00590FAE">
        <w:rPr>
          <w:color w:val="auto"/>
          <w:szCs w:val="20"/>
          <w:lang w:val="en-GB"/>
        </w:rPr>
        <w:t xml:space="preserve"> (i.e., handover complete message) once the UE accesses to target cell if target </w:t>
      </w:r>
      <w:proofErr w:type="spellStart"/>
      <w:r w:rsidRPr="00590FAE">
        <w:rPr>
          <w:color w:val="auto"/>
          <w:szCs w:val="20"/>
          <w:lang w:val="en-GB"/>
        </w:rPr>
        <w:t>gNB</w:t>
      </w:r>
      <w:proofErr w:type="spellEnd"/>
      <w:r w:rsidRPr="00590FAE">
        <w:rPr>
          <w:color w:val="auto"/>
          <w:szCs w:val="20"/>
          <w:lang w:val="en-GB"/>
        </w:rPr>
        <w:t xml:space="preserve"> includes the </w:t>
      </w:r>
      <w:proofErr w:type="spellStart"/>
      <w:r w:rsidRPr="00590FAE">
        <w:rPr>
          <w:i/>
          <w:iCs/>
          <w:color w:val="auto"/>
          <w:szCs w:val="20"/>
          <w:lang w:val="en-GB"/>
        </w:rPr>
        <w:t>otherConfig</w:t>
      </w:r>
      <w:proofErr w:type="spellEnd"/>
      <w:r w:rsidRPr="00590FAE">
        <w:rPr>
          <w:color w:val="auto"/>
          <w:szCs w:val="20"/>
          <w:lang w:val="en-GB"/>
        </w:rPr>
        <w:t xml:space="preserve"> IE in the handover command.</w:t>
      </w:r>
    </w:p>
    <w:p w14:paraId="7AF10B8A" w14:textId="77777777" w:rsidR="00905BA9" w:rsidRPr="00D91982" w:rsidRDefault="00905BA9" w:rsidP="00835E2C">
      <w:pPr>
        <w:pStyle w:val="Proposal"/>
        <w:numPr>
          <w:ilvl w:val="0"/>
          <w:numId w:val="49"/>
        </w:numPr>
        <w:tabs>
          <w:tab w:val="clear" w:pos="1560"/>
          <w:tab w:val="left" w:pos="1701"/>
        </w:tabs>
        <w:overflowPunct w:val="0"/>
        <w:autoSpaceDE w:val="0"/>
        <w:autoSpaceDN w:val="0"/>
        <w:adjustRightInd w:val="0"/>
        <w:spacing w:after="120"/>
        <w:ind w:left="1701" w:hanging="1701"/>
        <w:jc w:val="both"/>
        <w:textAlignment w:val="baseline"/>
      </w:pPr>
      <w:r>
        <w:t>For beam management, n</w:t>
      </w:r>
      <w:r w:rsidRPr="002436F5">
        <w:t xml:space="preserve">eighbouring cell’s applicability is not </w:t>
      </w:r>
      <w:r w:rsidRPr="00BC4F3C">
        <w:t>include</w:t>
      </w:r>
      <w:r>
        <w:t>d in applicability reporting.</w:t>
      </w:r>
    </w:p>
    <w:p w14:paraId="2050C910" w14:textId="77777777" w:rsidR="00905BA9" w:rsidRPr="00D91982" w:rsidRDefault="00905BA9" w:rsidP="00835E2C">
      <w:pPr>
        <w:pStyle w:val="Proposal"/>
        <w:numPr>
          <w:ilvl w:val="0"/>
          <w:numId w:val="49"/>
        </w:numPr>
        <w:tabs>
          <w:tab w:val="clear" w:pos="1560"/>
          <w:tab w:val="left" w:pos="1701"/>
        </w:tabs>
        <w:overflowPunct w:val="0"/>
        <w:autoSpaceDE w:val="0"/>
        <w:autoSpaceDN w:val="0"/>
        <w:adjustRightInd w:val="0"/>
        <w:spacing w:after="120"/>
        <w:ind w:left="1701" w:hanging="1701"/>
        <w:jc w:val="both"/>
        <w:textAlignment w:val="baseline"/>
      </w:pPr>
      <w:r>
        <w:t>R</w:t>
      </w:r>
      <w:r w:rsidRPr="007C5D3E">
        <w:t>egarding the signaling design for applicability reporting</w:t>
      </w:r>
      <w:r>
        <w:t>, RAN2 considers the following two alternatives:</w:t>
      </w:r>
    </w:p>
    <w:p w14:paraId="563E3391" w14:textId="77777777" w:rsidR="00905BA9" w:rsidRPr="00EE4FE3" w:rsidRDefault="00905BA9" w:rsidP="00EE4FE3">
      <w:pPr>
        <w:pStyle w:val="Proposal"/>
        <w:numPr>
          <w:ilvl w:val="0"/>
          <w:numId w:val="52"/>
        </w:numPr>
        <w:tabs>
          <w:tab w:val="clear" w:pos="1560"/>
          <w:tab w:val="left" w:pos="1701"/>
        </w:tabs>
        <w:overflowPunct w:val="0"/>
        <w:autoSpaceDE w:val="0"/>
        <w:autoSpaceDN w:val="0"/>
        <w:adjustRightInd w:val="0"/>
        <w:snapToGrid w:val="0"/>
        <w:spacing w:after="120"/>
        <w:jc w:val="both"/>
        <w:textAlignment w:val="baseline"/>
        <w:rPr>
          <w:rFonts w:eastAsiaTheme="minorEastAsia"/>
          <w:bCs/>
          <w:lang w:val="en-GB" w:eastAsia="zh-CN"/>
        </w:rPr>
      </w:pPr>
      <w:r w:rsidRPr="00EE4FE3">
        <w:rPr>
          <w:rFonts w:eastAsiaTheme="minorEastAsia"/>
          <w:bCs/>
          <w:lang w:val="en-GB" w:eastAsia="zh-CN"/>
        </w:rPr>
        <w:t xml:space="preserve">Alt1: For initial reporting, the UE reports the list of applicable functionalities. For subsequent reporting, the UE reports the change information (i.e., delta </w:t>
      </w:r>
      <w:proofErr w:type="spellStart"/>
      <w:r w:rsidRPr="00EE4FE3">
        <w:rPr>
          <w:rFonts w:eastAsiaTheme="minorEastAsia"/>
          <w:bCs/>
          <w:lang w:val="en-GB" w:eastAsia="zh-CN"/>
        </w:rPr>
        <w:t>signaling</w:t>
      </w:r>
      <w:proofErr w:type="spellEnd"/>
      <w:r w:rsidRPr="00EE4FE3">
        <w:rPr>
          <w:rFonts w:eastAsiaTheme="minorEastAsia"/>
          <w:bCs/>
          <w:lang w:val="en-GB" w:eastAsia="zh-CN"/>
        </w:rPr>
        <w:t xml:space="preserve"> using </w:t>
      </w:r>
      <w:proofErr w:type="spellStart"/>
      <w:r w:rsidRPr="00EE4FE3">
        <w:rPr>
          <w:rFonts w:eastAsiaTheme="minorEastAsia"/>
          <w:bCs/>
          <w:lang w:val="en-GB" w:eastAsia="zh-CN"/>
        </w:rPr>
        <w:t>To</w:t>
      </w:r>
      <w:r w:rsidRPr="00D91982">
        <w:rPr>
          <w:rFonts w:eastAsiaTheme="minorEastAsia"/>
          <w:bCs/>
          <w:i/>
          <w:iCs/>
          <w:lang w:val="en-GB" w:eastAsia="zh-CN"/>
        </w:rPr>
        <w:t>AddList</w:t>
      </w:r>
      <w:proofErr w:type="spellEnd"/>
      <w:r w:rsidRPr="00D91982">
        <w:rPr>
          <w:rFonts w:eastAsiaTheme="minorEastAsia"/>
          <w:bCs/>
          <w:i/>
          <w:iCs/>
          <w:lang w:val="en-GB" w:eastAsia="zh-CN"/>
        </w:rPr>
        <w:t xml:space="preserve"> and </w:t>
      </w:r>
      <w:proofErr w:type="spellStart"/>
      <w:r w:rsidRPr="00D91982">
        <w:rPr>
          <w:rFonts w:eastAsiaTheme="minorEastAsia"/>
          <w:bCs/>
          <w:i/>
          <w:iCs/>
          <w:lang w:val="en-GB" w:eastAsia="zh-CN"/>
        </w:rPr>
        <w:t>ToReleaseList</w:t>
      </w:r>
      <w:proofErr w:type="spellEnd"/>
      <w:r w:rsidRPr="00EE4FE3">
        <w:rPr>
          <w:rFonts w:eastAsiaTheme="minorEastAsia"/>
          <w:bCs/>
          <w:lang w:val="en-GB" w:eastAsia="zh-CN"/>
        </w:rPr>
        <w:t xml:space="preserve"> structure). </w:t>
      </w:r>
    </w:p>
    <w:p w14:paraId="2B4D29D4" w14:textId="77777777" w:rsidR="00905BA9" w:rsidRPr="00EE4FE3" w:rsidRDefault="00905BA9" w:rsidP="00EE4FE3">
      <w:pPr>
        <w:pStyle w:val="Proposal"/>
        <w:numPr>
          <w:ilvl w:val="0"/>
          <w:numId w:val="52"/>
        </w:numPr>
        <w:tabs>
          <w:tab w:val="clear" w:pos="1560"/>
          <w:tab w:val="left" w:pos="1701"/>
        </w:tabs>
        <w:overflowPunct w:val="0"/>
        <w:autoSpaceDE w:val="0"/>
        <w:autoSpaceDN w:val="0"/>
        <w:adjustRightInd w:val="0"/>
        <w:snapToGrid w:val="0"/>
        <w:spacing w:after="120"/>
        <w:jc w:val="both"/>
        <w:textAlignment w:val="baseline"/>
        <w:rPr>
          <w:rFonts w:eastAsiaTheme="minorEastAsia"/>
          <w:bCs/>
          <w:lang w:val="en-GB" w:eastAsia="zh-CN"/>
        </w:rPr>
      </w:pPr>
      <w:r w:rsidRPr="00EE4FE3">
        <w:rPr>
          <w:rFonts w:eastAsiaTheme="minorEastAsia"/>
          <w:bCs/>
          <w:lang w:val="en-GB" w:eastAsia="zh-CN"/>
        </w:rPr>
        <w:t>Alt2: The UE always reports the (updated) list of applicable functionalities regardless of initial reporting, or subsequent reporting (i.e.,</w:t>
      </w:r>
      <w:r w:rsidRPr="00D91982">
        <w:rPr>
          <w:rFonts w:eastAsiaTheme="minorEastAsia"/>
          <w:bCs/>
          <w:i/>
          <w:iCs/>
          <w:lang w:val="en-GB" w:eastAsia="zh-CN"/>
        </w:rPr>
        <w:t xml:space="preserve"> full-configuration-like</w:t>
      </w:r>
      <w:r w:rsidRPr="00EE4FE3">
        <w:rPr>
          <w:rFonts w:eastAsiaTheme="minorEastAsia"/>
          <w:bCs/>
          <w:lang w:val="en-GB" w:eastAsia="zh-CN"/>
        </w:rPr>
        <w:t xml:space="preserve"> signaling). If there is no applicable functionality, the list can be set to zero element. </w:t>
      </w:r>
    </w:p>
    <w:p w14:paraId="5D928783" w14:textId="648EEE9E" w:rsidR="004F4BE8" w:rsidRPr="0023303F" w:rsidRDefault="004F4BE8" w:rsidP="00666618">
      <w:pPr>
        <w:spacing w:beforeLines="50" w:before="120" w:after="120" w:line="260" w:lineRule="exact"/>
        <w:jc w:val="both"/>
        <w:rPr>
          <w:rFonts w:eastAsiaTheme="minorEastAsia"/>
          <w:b/>
          <w:bCs/>
          <w:i/>
          <w:iCs/>
          <w:color w:val="FF0000"/>
          <w:szCs w:val="21"/>
          <w:u w:val="single"/>
          <w:lang w:eastAsia="zh-CN"/>
        </w:rPr>
      </w:pPr>
      <w:r w:rsidRPr="0023303F">
        <w:rPr>
          <w:rFonts w:eastAsiaTheme="minorEastAsia"/>
          <w:b/>
          <w:bCs/>
          <w:i/>
          <w:iCs/>
          <w:color w:val="FF0000"/>
          <w:szCs w:val="21"/>
          <w:u w:val="single"/>
          <w:lang w:eastAsia="zh-CN"/>
        </w:rPr>
        <w:t>Signalling to configure the UE for training</w:t>
      </w:r>
    </w:p>
    <w:p w14:paraId="66BBB5C4" w14:textId="77777777" w:rsidR="00D91982" w:rsidRDefault="00905BA9" w:rsidP="00EE4FE3">
      <w:pPr>
        <w:pStyle w:val="Proposal"/>
        <w:numPr>
          <w:ilvl w:val="0"/>
          <w:numId w:val="49"/>
        </w:numPr>
        <w:tabs>
          <w:tab w:val="clear" w:pos="1560"/>
          <w:tab w:val="left" w:pos="1701"/>
        </w:tabs>
        <w:overflowPunct w:val="0"/>
        <w:autoSpaceDE w:val="0"/>
        <w:autoSpaceDN w:val="0"/>
        <w:adjustRightInd w:val="0"/>
        <w:spacing w:after="120"/>
        <w:ind w:left="1701" w:hanging="1701"/>
        <w:jc w:val="both"/>
        <w:textAlignment w:val="baseline"/>
      </w:pPr>
      <w:r>
        <w:t>For the s</w:t>
      </w:r>
      <w:r w:rsidRPr="0054287E">
        <w:t>ignaling to configure the UE for training</w:t>
      </w:r>
      <w:r>
        <w:t>, support both two approaches:</w:t>
      </w:r>
    </w:p>
    <w:p w14:paraId="4E3223A6" w14:textId="32E48F6A" w:rsidR="00D91982" w:rsidRDefault="00905BA9" w:rsidP="00D91982">
      <w:pPr>
        <w:pStyle w:val="Proposal"/>
        <w:numPr>
          <w:ilvl w:val="0"/>
          <w:numId w:val="53"/>
        </w:numPr>
        <w:tabs>
          <w:tab w:val="clear" w:pos="1560"/>
          <w:tab w:val="left" w:pos="1701"/>
        </w:tabs>
        <w:overflowPunct w:val="0"/>
        <w:autoSpaceDE w:val="0"/>
        <w:autoSpaceDN w:val="0"/>
        <w:adjustRightInd w:val="0"/>
        <w:spacing w:after="120"/>
        <w:jc w:val="both"/>
        <w:textAlignment w:val="baseline"/>
      </w:pPr>
      <w:r w:rsidRPr="0054287E">
        <w:t>NW broadcasts the UE collection configuration</w:t>
      </w:r>
      <w:r>
        <w:t xml:space="preserve">; </w:t>
      </w:r>
    </w:p>
    <w:p w14:paraId="07E13F6A" w14:textId="77777777" w:rsidR="00AD3F2A" w:rsidRDefault="00905BA9" w:rsidP="00D91982">
      <w:pPr>
        <w:pStyle w:val="Proposal"/>
        <w:numPr>
          <w:ilvl w:val="0"/>
          <w:numId w:val="53"/>
        </w:numPr>
        <w:tabs>
          <w:tab w:val="clear" w:pos="1560"/>
          <w:tab w:val="left" w:pos="1701"/>
        </w:tabs>
        <w:overflowPunct w:val="0"/>
        <w:autoSpaceDE w:val="0"/>
        <w:autoSpaceDN w:val="0"/>
        <w:adjustRightInd w:val="0"/>
        <w:spacing w:after="120"/>
        <w:jc w:val="both"/>
        <w:textAlignment w:val="baseline"/>
      </w:pPr>
      <w:r w:rsidRPr="0054287E">
        <w:t>NW send</w:t>
      </w:r>
      <w:r>
        <w:t>s</w:t>
      </w:r>
      <w:r w:rsidRPr="0054287E">
        <w:t xml:space="preserve"> the collection configuration to the UE via dedicated signaling after receiving UE’s </w:t>
      </w:r>
      <w:r>
        <w:t xml:space="preserve">direct </w:t>
      </w:r>
      <w:r w:rsidRPr="0054287E">
        <w:t>request</w:t>
      </w:r>
      <w:r>
        <w:t xml:space="preserve">. </w:t>
      </w:r>
    </w:p>
    <w:p w14:paraId="2C7BF50B" w14:textId="2CA62906" w:rsidR="00905BA9" w:rsidRPr="00835E2C" w:rsidRDefault="00905BA9" w:rsidP="00AD3F2A">
      <w:pPr>
        <w:pStyle w:val="Proposal"/>
        <w:tabs>
          <w:tab w:val="clear" w:pos="1560"/>
          <w:tab w:val="left" w:pos="1701"/>
        </w:tabs>
        <w:overflowPunct w:val="0"/>
        <w:autoSpaceDE w:val="0"/>
        <w:autoSpaceDN w:val="0"/>
        <w:adjustRightInd w:val="0"/>
        <w:spacing w:after="120"/>
        <w:ind w:left="1701"/>
        <w:jc w:val="both"/>
        <w:textAlignment w:val="baseline"/>
      </w:pPr>
      <w:r>
        <w:t>I</w:t>
      </w:r>
      <w:r w:rsidRPr="004C6F39">
        <w:t>t is left to network implementation to support which one or both.</w:t>
      </w:r>
    </w:p>
    <w:p w14:paraId="20776CE4" w14:textId="77777777" w:rsidR="00905BA9" w:rsidRPr="005A59C1" w:rsidRDefault="00905BA9" w:rsidP="00666618">
      <w:pPr>
        <w:spacing w:beforeLines="50" w:before="120" w:after="120" w:line="260" w:lineRule="exact"/>
        <w:jc w:val="both"/>
        <w:rPr>
          <w:rFonts w:eastAsiaTheme="minorEastAsia"/>
          <w:szCs w:val="21"/>
          <w:lang w:eastAsia="zh-CN"/>
        </w:rPr>
      </w:pPr>
    </w:p>
    <w:p w14:paraId="0AFD0A39"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BE0B6D8" w14:textId="68718E67" w:rsidR="00322B51" w:rsidRDefault="00D67BB6" w:rsidP="00322B51">
      <w:pPr>
        <w:numPr>
          <w:ilvl w:val="0"/>
          <w:numId w:val="5"/>
        </w:numPr>
        <w:spacing w:after="120"/>
        <w:jc w:val="both"/>
        <w:rPr>
          <w:lang w:eastAsia="zh-CN"/>
        </w:rPr>
      </w:pPr>
      <w:r w:rsidRPr="00D67BB6">
        <w:rPr>
          <w:lang w:eastAsia="zh-CN"/>
        </w:rPr>
        <w:t>RP-240774</w:t>
      </w:r>
      <w:r>
        <w:rPr>
          <w:lang w:eastAsia="zh-CN"/>
        </w:rPr>
        <w:t xml:space="preserve"> </w:t>
      </w:r>
      <w:r w:rsidRPr="00D67BB6">
        <w:rPr>
          <w:lang w:eastAsia="zh-CN"/>
        </w:rPr>
        <w:t>Revised WID on Artificial Intelligence (AI)/Machine Learning (ML) for NR Air Interface</w:t>
      </w:r>
    </w:p>
    <w:p w14:paraId="38F7F254" w14:textId="77777777" w:rsidR="00BF39A5" w:rsidRPr="005A59C1" w:rsidRDefault="00BF39A5" w:rsidP="00D9622E">
      <w:pPr>
        <w:spacing w:after="120"/>
        <w:jc w:val="both"/>
        <w:rPr>
          <w:lang w:eastAsia="zh-CN"/>
        </w:rPr>
      </w:pPr>
    </w:p>
    <w:sectPr w:rsidR="00BF39A5" w:rsidRPr="005A59C1" w:rsidSect="00B72788">
      <w:headerReference w:type="defaul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C7A9" w14:textId="77777777" w:rsidR="00F335A0" w:rsidRDefault="00F335A0">
      <w:r>
        <w:separator/>
      </w:r>
    </w:p>
  </w:endnote>
  <w:endnote w:type="continuationSeparator" w:id="0">
    <w:p w14:paraId="78C6D233" w14:textId="77777777" w:rsidR="00F335A0" w:rsidRDefault="00F335A0">
      <w:r>
        <w:continuationSeparator/>
      </w:r>
    </w:p>
  </w:endnote>
  <w:endnote w:type="continuationNotice" w:id="1">
    <w:p w14:paraId="4C9B53E3" w14:textId="77777777" w:rsidR="00F335A0" w:rsidRDefault="00F33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944B2" w14:textId="77777777" w:rsidR="00F335A0" w:rsidRDefault="00F335A0">
      <w:r>
        <w:separator/>
      </w:r>
    </w:p>
  </w:footnote>
  <w:footnote w:type="continuationSeparator" w:id="0">
    <w:p w14:paraId="7ECAA642" w14:textId="77777777" w:rsidR="00F335A0" w:rsidRDefault="00F335A0">
      <w:r>
        <w:continuationSeparator/>
      </w:r>
    </w:p>
  </w:footnote>
  <w:footnote w:type="continuationNotice" w:id="1">
    <w:p w14:paraId="594EDE41" w14:textId="77777777" w:rsidR="00F335A0" w:rsidRDefault="00F335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191635" w:rsidRDefault="00191635">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9D3A2DBC"/>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E5E639D8">
      <w:start w:val="1"/>
      <w:numFmt w:val="decimal"/>
      <w:lvlText w:val="(%3)"/>
      <w:lvlJc w:val="left"/>
      <w:pPr>
        <w:ind w:left="1883" w:hanging="360"/>
      </w:pPr>
      <w:rPr>
        <w:rFonts w:hint="default"/>
      </w:r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 w15:restartNumberingAfterBreak="0">
    <w:nsid w:val="028672B5"/>
    <w:multiLevelType w:val="hybridMultilevel"/>
    <w:tmpl w:val="D62E4AFE"/>
    <w:lvl w:ilvl="0" w:tplc="04090011">
      <w:start w:val="1"/>
      <w:numFmt w:val="decimal"/>
      <w:lvlText w:val="%1)"/>
      <w:lvlJc w:val="left"/>
      <w:pPr>
        <w:ind w:left="2121" w:hanging="420"/>
      </w:pPr>
    </w:lvl>
    <w:lvl w:ilvl="1" w:tplc="04090019">
      <w:start w:val="1"/>
      <w:numFmt w:val="lowerLetter"/>
      <w:lvlText w:val="%2)"/>
      <w:lvlJc w:val="left"/>
      <w:pPr>
        <w:ind w:left="2541" w:hanging="420"/>
      </w:pPr>
    </w:lvl>
    <w:lvl w:ilvl="2" w:tplc="0409001B">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 w15:restartNumberingAfterBreak="0">
    <w:nsid w:val="09EA01B3"/>
    <w:multiLevelType w:val="hybridMultilevel"/>
    <w:tmpl w:val="06FC5098"/>
    <w:lvl w:ilvl="0" w:tplc="5FFE1272">
      <w:start w:val="6"/>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3" w15:restartNumberingAfterBreak="0">
    <w:nsid w:val="0D24468F"/>
    <w:multiLevelType w:val="hybridMultilevel"/>
    <w:tmpl w:val="26EA5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612D3"/>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5" w15:restartNumberingAfterBreak="0">
    <w:nsid w:val="15896F9D"/>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B9B4BB8"/>
    <w:multiLevelType w:val="hybridMultilevel"/>
    <w:tmpl w:val="0D340316"/>
    <w:lvl w:ilvl="0" w:tplc="5FFE1272">
      <w:start w:val="6"/>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21305E47"/>
    <w:multiLevelType w:val="hybridMultilevel"/>
    <w:tmpl w:val="E21A9B2E"/>
    <w:lvl w:ilvl="0" w:tplc="5FFE1272">
      <w:start w:val="6"/>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586429"/>
    <w:multiLevelType w:val="hybridMultilevel"/>
    <w:tmpl w:val="C4D6033C"/>
    <w:lvl w:ilvl="0" w:tplc="B7F9DC0D">
      <w:start w:val="1"/>
      <w:numFmt w:val="bullet"/>
      <w:lvlText w:val="-"/>
      <w:lvlJc w:val="left"/>
      <w:pPr>
        <w:ind w:left="1554" w:hanging="420"/>
      </w:pPr>
      <w:rPr>
        <w:rFonts w:ascii="Arial" w:hAnsi="Arial" w:cs="Arial" w:hint="default"/>
      </w:rPr>
    </w:lvl>
    <w:lvl w:ilvl="1" w:tplc="FFFFFFFF">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14"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C167F49"/>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641733"/>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120B9A"/>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9F72F8"/>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061BA4"/>
    <w:multiLevelType w:val="hybridMultilevel"/>
    <w:tmpl w:val="2A5A20EA"/>
    <w:lvl w:ilvl="0" w:tplc="D304ED12">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31493E"/>
    <w:multiLevelType w:val="hybridMultilevel"/>
    <w:tmpl w:val="2F149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2216D5"/>
    <w:multiLevelType w:val="hybridMultilevel"/>
    <w:tmpl w:val="5EDA4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7C30B6"/>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956D5D"/>
    <w:multiLevelType w:val="multilevel"/>
    <w:tmpl w:val="43956D5D"/>
    <w:lvl w:ilvl="0">
      <w:numFmt w:val="bullet"/>
      <w:lvlText w:val="-"/>
      <w:lvlJc w:val="left"/>
      <w:pPr>
        <w:ind w:left="360" w:hanging="360"/>
      </w:pPr>
      <w:rPr>
        <w:rFonts w:ascii="Arial" w:eastAsia="MS Mincho"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4006C46"/>
    <w:multiLevelType w:val="hybridMultilevel"/>
    <w:tmpl w:val="2370EC72"/>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49476600"/>
    <w:multiLevelType w:val="hybridMultilevel"/>
    <w:tmpl w:val="0B60C2DE"/>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C471148"/>
    <w:multiLevelType w:val="hybridMultilevel"/>
    <w:tmpl w:val="D55A75EC"/>
    <w:lvl w:ilvl="0" w:tplc="0409000B">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4FF941ED"/>
    <w:multiLevelType w:val="hybridMultilevel"/>
    <w:tmpl w:val="E5188B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1C1FA1"/>
    <w:multiLevelType w:val="hybridMultilevel"/>
    <w:tmpl w:val="4976BCA4"/>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8AE510E"/>
    <w:multiLevelType w:val="hybridMultilevel"/>
    <w:tmpl w:val="4EC8D9B4"/>
    <w:lvl w:ilvl="0" w:tplc="7DFA766C">
      <w:start w:val="1"/>
      <w:numFmt w:val="decimal"/>
      <w:lvlText w:val="Observation %1."/>
      <w:lvlJc w:val="left"/>
      <w:pPr>
        <w:ind w:left="840" w:hanging="420"/>
      </w:pPr>
      <w:rPr>
        <w:rFonts w:hint="eastAsia"/>
        <w:b/>
        <w:lang w:val="en-GB"/>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F62BAC"/>
    <w:multiLevelType w:val="hybridMultilevel"/>
    <w:tmpl w:val="F66883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F7631F"/>
    <w:multiLevelType w:val="hybridMultilevel"/>
    <w:tmpl w:val="0ABC3058"/>
    <w:lvl w:ilvl="0" w:tplc="FFFFFFFF">
      <w:start w:val="1"/>
      <w:numFmt w:val="decimal"/>
      <w:lvlText w:val="Proposal %1."/>
      <w:lvlJc w:val="left"/>
      <w:pPr>
        <w:ind w:left="1129" w:hanging="420"/>
      </w:pPr>
      <w:rPr>
        <w:rFonts w:hint="eastAsia"/>
      </w:rPr>
    </w:lvl>
    <w:lvl w:ilvl="1" w:tplc="FFFFFFFF">
      <w:start w:val="1"/>
      <w:numFmt w:val="lowerLetter"/>
      <w:lvlText w:val="%2)"/>
      <w:lvlJc w:val="left"/>
      <w:pPr>
        <w:ind w:left="1523" w:hanging="420"/>
      </w:pPr>
    </w:lvl>
    <w:lvl w:ilvl="2" w:tplc="135E5A64">
      <w:start w:val="1"/>
      <w:numFmt w:val="decimal"/>
      <w:lvlText w:val="(%3)"/>
      <w:lvlJc w:val="left"/>
      <w:pPr>
        <w:ind w:left="1883" w:hanging="360"/>
      </w:pPr>
      <w:rPr>
        <w:rFonts w:hint="default"/>
      </w:rPr>
    </w:lvl>
    <w:lvl w:ilvl="3" w:tplc="FFFFFFFF" w:tentative="1">
      <w:start w:val="1"/>
      <w:numFmt w:val="decimal"/>
      <w:lvlText w:val="%4."/>
      <w:lvlJc w:val="left"/>
      <w:pPr>
        <w:ind w:left="2363" w:hanging="420"/>
      </w:pPr>
    </w:lvl>
    <w:lvl w:ilvl="4" w:tplc="FFFFFFFF" w:tentative="1">
      <w:start w:val="1"/>
      <w:numFmt w:val="lowerLetter"/>
      <w:lvlText w:val="%5)"/>
      <w:lvlJc w:val="left"/>
      <w:pPr>
        <w:ind w:left="2783" w:hanging="420"/>
      </w:pPr>
    </w:lvl>
    <w:lvl w:ilvl="5" w:tplc="FFFFFFFF" w:tentative="1">
      <w:start w:val="1"/>
      <w:numFmt w:val="lowerRoman"/>
      <w:lvlText w:val="%6."/>
      <w:lvlJc w:val="right"/>
      <w:pPr>
        <w:ind w:left="3203" w:hanging="420"/>
      </w:pPr>
    </w:lvl>
    <w:lvl w:ilvl="6" w:tplc="FFFFFFFF" w:tentative="1">
      <w:start w:val="1"/>
      <w:numFmt w:val="decimal"/>
      <w:lvlText w:val="%7."/>
      <w:lvlJc w:val="left"/>
      <w:pPr>
        <w:ind w:left="3623" w:hanging="420"/>
      </w:pPr>
    </w:lvl>
    <w:lvl w:ilvl="7" w:tplc="FFFFFFFF" w:tentative="1">
      <w:start w:val="1"/>
      <w:numFmt w:val="lowerLetter"/>
      <w:lvlText w:val="%8)"/>
      <w:lvlJc w:val="left"/>
      <w:pPr>
        <w:ind w:left="4043" w:hanging="420"/>
      </w:pPr>
    </w:lvl>
    <w:lvl w:ilvl="8" w:tplc="FFFFFFFF" w:tentative="1">
      <w:start w:val="1"/>
      <w:numFmt w:val="lowerRoman"/>
      <w:lvlText w:val="%9."/>
      <w:lvlJc w:val="right"/>
      <w:pPr>
        <w:ind w:left="4463" w:hanging="420"/>
      </w:pPr>
    </w:lvl>
  </w:abstractNum>
  <w:abstractNum w:abstractNumId="35" w15:restartNumberingAfterBreak="0">
    <w:nsid w:val="6051408B"/>
    <w:multiLevelType w:val="hybridMultilevel"/>
    <w:tmpl w:val="C896C88E"/>
    <w:lvl w:ilvl="0" w:tplc="B7F9DC0D">
      <w:start w:val="1"/>
      <w:numFmt w:val="bullet"/>
      <w:lvlText w:val="-"/>
      <w:lvlJc w:val="left"/>
      <w:pPr>
        <w:ind w:left="1494" w:hanging="360"/>
      </w:pPr>
      <w:rPr>
        <w:rFonts w:ascii="Arial"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60A67FAD"/>
    <w:multiLevelType w:val="hybridMultilevel"/>
    <w:tmpl w:val="AC0A7458"/>
    <w:lvl w:ilvl="0" w:tplc="04090011">
      <w:start w:val="1"/>
      <w:numFmt w:val="decimal"/>
      <w:lvlText w:val="%1)"/>
      <w:lvlJc w:val="left"/>
      <w:pPr>
        <w:ind w:left="2121" w:hanging="420"/>
      </w:pPr>
    </w:lvl>
    <w:lvl w:ilvl="1" w:tplc="04090019">
      <w:start w:val="1"/>
      <w:numFmt w:val="lowerLetter"/>
      <w:lvlText w:val="%2)"/>
      <w:lvlJc w:val="left"/>
      <w:pPr>
        <w:ind w:left="2541" w:hanging="420"/>
      </w:pPr>
    </w:lvl>
    <w:lvl w:ilvl="2" w:tplc="0409001B">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7" w15:restartNumberingAfterBreak="0">
    <w:nsid w:val="67BC59DC"/>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93786A"/>
    <w:multiLevelType w:val="hybridMultilevel"/>
    <w:tmpl w:val="749C045E"/>
    <w:lvl w:ilvl="0" w:tplc="C6DA1A48">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39" w15:restartNumberingAfterBreak="0">
    <w:nsid w:val="69DF3883"/>
    <w:multiLevelType w:val="singleLevel"/>
    <w:tmpl w:val="69DF3883"/>
    <w:lvl w:ilvl="0">
      <w:start w:val="1"/>
      <w:numFmt w:val="decimal"/>
      <w:suff w:val="space"/>
      <w:lvlText w:val="[%1]."/>
      <w:lvlJc w:val="left"/>
    </w:lvl>
  </w:abstractNum>
  <w:abstractNum w:abstractNumId="40"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1" w15:restartNumberingAfterBreak="0">
    <w:nsid w:val="6E2670E7"/>
    <w:multiLevelType w:val="multilevel"/>
    <w:tmpl w:val="6E2670E7"/>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8B31A7"/>
    <w:multiLevelType w:val="hybridMultilevel"/>
    <w:tmpl w:val="197CE9DA"/>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31668D4"/>
    <w:multiLevelType w:val="hybridMultilevel"/>
    <w:tmpl w:val="BF243878"/>
    <w:lvl w:ilvl="0" w:tplc="5C6C2CFC">
      <w:numFmt w:val="bullet"/>
      <w:lvlText w:val="-"/>
      <w:lvlJc w:val="left"/>
      <w:pPr>
        <w:ind w:left="1680" w:hanging="420"/>
      </w:pPr>
      <w:rPr>
        <w:rFonts w:ascii="Times New Roman" w:eastAsia="Times New Roman" w:hAnsi="Times New Roman" w:cs="Times New Roman" w:hint="default"/>
      </w:rPr>
    </w:lvl>
    <w:lvl w:ilvl="1" w:tplc="FFFFFFFF" w:tentative="1">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46"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4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9" w15:restartNumberingAfterBreak="0">
    <w:nsid w:val="7F2C01F6"/>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43"/>
  </w:num>
  <w:num w:numId="3">
    <w:abstractNumId w:val="29"/>
  </w:num>
  <w:num w:numId="4">
    <w:abstractNumId w:val="40"/>
  </w:num>
  <w:num w:numId="5">
    <w:abstractNumId w:val="39"/>
  </w:num>
  <w:num w:numId="6">
    <w:abstractNumId w:val="47"/>
  </w:num>
  <w:num w:numId="7">
    <w:abstractNumId w:val="42"/>
  </w:num>
  <w:num w:numId="8">
    <w:abstractNumId w:val="32"/>
  </w:num>
  <w:num w:numId="9">
    <w:abstractNumId w:val="20"/>
  </w:num>
  <w:num w:numId="10">
    <w:abstractNumId w:val="46"/>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1">
    <w:abstractNumId w:val="46"/>
  </w:num>
  <w:num w:numId="12">
    <w:abstractNumId w:val="19"/>
  </w:num>
  <w:num w:numId="13">
    <w:abstractNumId w:val="1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7"/>
  </w:num>
  <w:num w:numId="17">
    <w:abstractNumId w:val="37"/>
  </w:num>
  <w:num w:numId="18">
    <w:abstractNumId w:val="15"/>
  </w:num>
  <w:num w:numId="19">
    <w:abstractNumId w:val="11"/>
  </w:num>
  <w:num w:numId="20">
    <w:abstractNumId w:val="2"/>
  </w:num>
  <w:num w:numId="21">
    <w:abstractNumId w:val="7"/>
  </w:num>
  <w:num w:numId="22">
    <w:abstractNumId w:val="8"/>
  </w:num>
  <w:num w:numId="23">
    <w:abstractNumId w:val="21"/>
  </w:num>
  <w:num w:numId="24">
    <w:abstractNumId w:val="14"/>
  </w:num>
  <w:num w:numId="25">
    <w:abstractNumId w:val="23"/>
  </w:num>
  <w:num w:numId="26">
    <w:abstractNumId w:val="26"/>
  </w:num>
  <w:num w:numId="27">
    <w:abstractNumId w:val="41"/>
  </w:num>
  <w:num w:numId="28">
    <w:abstractNumId w:val="17"/>
  </w:num>
  <w:num w:numId="29">
    <w:abstractNumId w:val="16"/>
  </w:num>
  <w:num w:numId="30">
    <w:abstractNumId w:val="18"/>
  </w:num>
  <w:num w:numId="31">
    <w:abstractNumId w:val="49"/>
  </w:num>
  <w:num w:numId="32">
    <w:abstractNumId w:val="10"/>
  </w:num>
  <w:num w:numId="33">
    <w:abstractNumId w:val="25"/>
  </w:num>
  <w:num w:numId="34">
    <w:abstractNumId w:val="30"/>
  </w:num>
  <w:num w:numId="35">
    <w:abstractNumId w:val="35"/>
  </w:num>
  <w:num w:numId="36">
    <w:abstractNumId w:val="45"/>
  </w:num>
  <w:num w:numId="37">
    <w:abstractNumId w:val="12"/>
  </w:num>
  <w:num w:numId="38">
    <w:abstractNumId w:val="28"/>
  </w:num>
  <w:num w:numId="39">
    <w:abstractNumId w:val="3"/>
  </w:num>
  <w:num w:numId="40">
    <w:abstractNumId w:val="24"/>
  </w:num>
  <w:num w:numId="41">
    <w:abstractNumId w:val="44"/>
  </w:num>
  <w:num w:numId="42">
    <w:abstractNumId w:val="43"/>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33"/>
  </w:num>
  <w:num w:numId="46">
    <w:abstractNumId w:val="5"/>
  </w:num>
  <w:num w:numId="47">
    <w:abstractNumId w:val="22"/>
  </w:num>
  <w:num w:numId="48">
    <w:abstractNumId w:val="0"/>
  </w:num>
  <w:num w:numId="49">
    <w:abstractNumId w:val="34"/>
  </w:num>
  <w:num w:numId="50">
    <w:abstractNumId w:val="31"/>
  </w:num>
  <w:num w:numId="51">
    <w:abstractNumId w:val="4"/>
  </w:num>
  <w:num w:numId="52">
    <w:abstractNumId w:val="38"/>
  </w:num>
  <w:num w:numId="53">
    <w:abstractNumId w:val="1"/>
  </w:num>
  <w:num w:numId="5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SqBQAPBK+cLgAAAA=="/>
  </w:docVars>
  <w:rsids>
    <w:rsidRoot w:val="002B0636"/>
    <w:rsid w:val="00000024"/>
    <w:rsid w:val="00000107"/>
    <w:rsid w:val="00000224"/>
    <w:rsid w:val="000007AA"/>
    <w:rsid w:val="0000090E"/>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A18"/>
    <w:rsid w:val="00011C85"/>
    <w:rsid w:val="00011FFF"/>
    <w:rsid w:val="0001254C"/>
    <w:rsid w:val="000128CC"/>
    <w:rsid w:val="00013837"/>
    <w:rsid w:val="00013BA4"/>
    <w:rsid w:val="00013C41"/>
    <w:rsid w:val="00013D8C"/>
    <w:rsid w:val="000141E1"/>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23A"/>
    <w:rsid w:val="00020D00"/>
    <w:rsid w:val="00021112"/>
    <w:rsid w:val="00021292"/>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2FD"/>
    <w:rsid w:val="00024307"/>
    <w:rsid w:val="000245BB"/>
    <w:rsid w:val="0002482F"/>
    <w:rsid w:val="00024881"/>
    <w:rsid w:val="000248D6"/>
    <w:rsid w:val="000249BC"/>
    <w:rsid w:val="00024C65"/>
    <w:rsid w:val="00024F03"/>
    <w:rsid w:val="00024F04"/>
    <w:rsid w:val="00024F2F"/>
    <w:rsid w:val="00025A6A"/>
    <w:rsid w:val="00025FD3"/>
    <w:rsid w:val="00026902"/>
    <w:rsid w:val="000269AE"/>
    <w:rsid w:val="00026D19"/>
    <w:rsid w:val="00027114"/>
    <w:rsid w:val="00027738"/>
    <w:rsid w:val="00027A72"/>
    <w:rsid w:val="00027C6C"/>
    <w:rsid w:val="00027CFF"/>
    <w:rsid w:val="00030616"/>
    <w:rsid w:val="0003062C"/>
    <w:rsid w:val="0003062E"/>
    <w:rsid w:val="00030757"/>
    <w:rsid w:val="00030BB2"/>
    <w:rsid w:val="00030E39"/>
    <w:rsid w:val="000310C0"/>
    <w:rsid w:val="000313E3"/>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C92"/>
    <w:rsid w:val="00036DC2"/>
    <w:rsid w:val="000375A3"/>
    <w:rsid w:val="00037BD4"/>
    <w:rsid w:val="00037D9A"/>
    <w:rsid w:val="00037F86"/>
    <w:rsid w:val="0004026A"/>
    <w:rsid w:val="00040332"/>
    <w:rsid w:val="00040D4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5D8D"/>
    <w:rsid w:val="0004662D"/>
    <w:rsid w:val="00046960"/>
    <w:rsid w:val="00046C05"/>
    <w:rsid w:val="00046D77"/>
    <w:rsid w:val="00046DFF"/>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6C0"/>
    <w:rsid w:val="00053727"/>
    <w:rsid w:val="00053E90"/>
    <w:rsid w:val="000542C7"/>
    <w:rsid w:val="0005493A"/>
    <w:rsid w:val="00054CE6"/>
    <w:rsid w:val="00054E0F"/>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714"/>
    <w:rsid w:val="00061B2E"/>
    <w:rsid w:val="00061C06"/>
    <w:rsid w:val="00061CA6"/>
    <w:rsid w:val="00061EBE"/>
    <w:rsid w:val="00062251"/>
    <w:rsid w:val="00062E9D"/>
    <w:rsid w:val="000633E9"/>
    <w:rsid w:val="00063617"/>
    <w:rsid w:val="0006364F"/>
    <w:rsid w:val="000640A4"/>
    <w:rsid w:val="000641E9"/>
    <w:rsid w:val="000646F0"/>
    <w:rsid w:val="000648FE"/>
    <w:rsid w:val="00064934"/>
    <w:rsid w:val="00064A80"/>
    <w:rsid w:val="00064BEC"/>
    <w:rsid w:val="00064C3A"/>
    <w:rsid w:val="00064D21"/>
    <w:rsid w:val="00065981"/>
    <w:rsid w:val="00065A8A"/>
    <w:rsid w:val="00065A8C"/>
    <w:rsid w:val="00065D92"/>
    <w:rsid w:val="000663B7"/>
    <w:rsid w:val="00066448"/>
    <w:rsid w:val="000664A1"/>
    <w:rsid w:val="000664FB"/>
    <w:rsid w:val="00066564"/>
    <w:rsid w:val="000665F6"/>
    <w:rsid w:val="00066E76"/>
    <w:rsid w:val="00066F0F"/>
    <w:rsid w:val="00070056"/>
    <w:rsid w:val="00070090"/>
    <w:rsid w:val="00070E5A"/>
    <w:rsid w:val="00070F68"/>
    <w:rsid w:val="000710E6"/>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FC2"/>
    <w:rsid w:val="00081971"/>
    <w:rsid w:val="00081FDF"/>
    <w:rsid w:val="0008214D"/>
    <w:rsid w:val="000824AF"/>
    <w:rsid w:val="00082620"/>
    <w:rsid w:val="00082A8F"/>
    <w:rsid w:val="00083161"/>
    <w:rsid w:val="00083355"/>
    <w:rsid w:val="0008378B"/>
    <w:rsid w:val="00083830"/>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3D8"/>
    <w:rsid w:val="00091EE5"/>
    <w:rsid w:val="000922DA"/>
    <w:rsid w:val="00092AB5"/>
    <w:rsid w:val="00092CF9"/>
    <w:rsid w:val="00094015"/>
    <w:rsid w:val="000948BA"/>
    <w:rsid w:val="000948BB"/>
    <w:rsid w:val="00094EFC"/>
    <w:rsid w:val="000954AA"/>
    <w:rsid w:val="00095686"/>
    <w:rsid w:val="00095981"/>
    <w:rsid w:val="000960BD"/>
    <w:rsid w:val="000962ED"/>
    <w:rsid w:val="0009649D"/>
    <w:rsid w:val="00096619"/>
    <w:rsid w:val="000969F6"/>
    <w:rsid w:val="00097CE9"/>
    <w:rsid w:val="00097EF9"/>
    <w:rsid w:val="000A0555"/>
    <w:rsid w:val="000A0681"/>
    <w:rsid w:val="000A085B"/>
    <w:rsid w:val="000A0DA9"/>
    <w:rsid w:val="000A1249"/>
    <w:rsid w:val="000A142A"/>
    <w:rsid w:val="000A2168"/>
    <w:rsid w:val="000A217D"/>
    <w:rsid w:val="000A27B9"/>
    <w:rsid w:val="000A2B7B"/>
    <w:rsid w:val="000A2D69"/>
    <w:rsid w:val="000A2FE0"/>
    <w:rsid w:val="000A342B"/>
    <w:rsid w:val="000A36C0"/>
    <w:rsid w:val="000A41C4"/>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4AA"/>
    <w:rsid w:val="000C4738"/>
    <w:rsid w:val="000C4D29"/>
    <w:rsid w:val="000C514E"/>
    <w:rsid w:val="000C572C"/>
    <w:rsid w:val="000C57AA"/>
    <w:rsid w:val="000C59C5"/>
    <w:rsid w:val="000C5AF3"/>
    <w:rsid w:val="000C5D84"/>
    <w:rsid w:val="000C694F"/>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5E5"/>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316B"/>
    <w:rsid w:val="000E3388"/>
    <w:rsid w:val="000E378E"/>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9B2"/>
    <w:rsid w:val="000F1DD7"/>
    <w:rsid w:val="000F1DF5"/>
    <w:rsid w:val="000F2031"/>
    <w:rsid w:val="000F2415"/>
    <w:rsid w:val="000F2D72"/>
    <w:rsid w:val="000F3328"/>
    <w:rsid w:val="000F36AF"/>
    <w:rsid w:val="000F3CB7"/>
    <w:rsid w:val="000F3F14"/>
    <w:rsid w:val="000F4429"/>
    <w:rsid w:val="000F4730"/>
    <w:rsid w:val="000F49C9"/>
    <w:rsid w:val="000F5405"/>
    <w:rsid w:val="000F5934"/>
    <w:rsid w:val="000F5CF3"/>
    <w:rsid w:val="000F63E2"/>
    <w:rsid w:val="000F6EEE"/>
    <w:rsid w:val="000F73E4"/>
    <w:rsid w:val="000F759A"/>
    <w:rsid w:val="000F7966"/>
    <w:rsid w:val="00100192"/>
    <w:rsid w:val="001001FF"/>
    <w:rsid w:val="00100B07"/>
    <w:rsid w:val="00100C6E"/>
    <w:rsid w:val="001010B6"/>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A92"/>
    <w:rsid w:val="00123BEA"/>
    <w:rsid w:val="00123E6D"/>
    <w:rsid w:val="00124625"/>
    <w:rsid w:val="001246BC"/>
    <w:rsid w:val="00124D86"/>
    <w:rsid w:val="00124E30"/>
    <w:rsid w:val="001250BC"/>
    <w:rsid w:val="001252CD"/>
    <w:rsid w:val="001253E8"/>
    <w:rsid w:val="00125FBC"/>
    <w:rsid w:val="00126E6E"/>
    <w:rsid w:val="0012706B"/>
    <w:rsid w:val="0012712C"/>
    <w:rsid w:val="00127308"/>
    <w:rsid w:val="001278B8"/>
    <w:rsid w:val="00127BD3"/>
    <w:rsid w:val="00127CF2"/>
    <w:rsid w:val="00127E96"/>
    <w:rsid w:val="00130BA1"/>
    <w:rsid w:val="00131177"/>
    <w:rsid w:val="00131198"/>
    <w:rsid w:val="00131709"/>
    <w:rsid w:val="00131853"/>
    <w:rsid w:val="00131E9A"/>
    <w:rsid w:val="00132539"/>
    <w:rsid w:val="00132AA3"/>
    <w:rsid w:val="00133734"/>
    <w:rsid w:val="00133AE2"/>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0CE5"/>
    <w:rsid w:val="00141182"/>
    <w:rsid w:val="0014119C"/>
    <w:rsid w:val="00141638"/>
    <w:rsid w:val="00141D05"/>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5C3"/>
    <w:rsid w:val="00174614"/>
    <w:rsid w:val="00174733"/>
    <w:rsid w:val="001758C2"/>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9FB"/>
    <w:rsid w:val="00183CD8"/>
    <w:rsid w:val="00183F70"/>
    <w:rsid w:val="00184956"/>
    <w:rsid w:val="00184A0E"/>
    <w:rsid w:val="00184C01"/>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DBE"/>
    <w:rsid w:val="00192092"/>
    <w:rsid w:val="0019230B"/>
    <w:rsid w:val="00192322"/>
    <w:rsid w:val="00192569"/>
    <w:rsid w:val="001928A7"/>
    <w:rsid w:val="00192F1F"/>
    <w:rsid w:val="00193018"/>
    <w:rsid w:val="00193105"/>
    <w:rsid w:val="00193128"/>
    <w:rsid w:val="00193DF0"/>
    <w:rsid w:val="00193E03"/>
    <w:rsid w:val="00193FFA"/>
    <w:rsid w:val="001949AC"/>
    <w:rsid w:val="00194BD7"/>
    <w:rsid w:val="00194E51"/>
    <w:rsid w:val="0019546A"/>
    <w:rsid w:val="00195506"/>
    <w:rsid w:val="00195724"/>
    <w:rsid w:val="001957AD"/>
    <w:rsid w:val="001966EC"/>
    <w:rsid w:val="001968EE"/>
    <w:rsid w:val="00196AAD"/>
    <w:rsid w:val="00196D8D"/>
    <w:rsid w:val="00196E38"/>
    <w:rsid w:val="00196ECF"/>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D6"/>
    <w:rsid w:val="001A4F70"/>
    <w:rsid w:val="001A584A"/>
    <w:rsid w:val="001A5B3A"/>
    <w:rsid w:val="001A683E"/>
    <w:rsid w:val="001A6A04"/>
    <w:rsid w:val="001A768C"/>
    <w:rsid w:val="001A7F7F"/>
    <w:rsid w:val="001B0150"/>
    <w:rsid w:val="001B04A5"/>
    <w:rsid w:val="001B06F9"/>
    <w:rsid w:val="001B082C"/>
    <w:rsid w:val="001B0994"/>
    <w:rsid w:val="001B09C5"/>
    <w:rsid w:val="001B0A26"/>
    <w:rsid w:val="001B16CB"/>
    <w:rsid w:val="001B2046"/>
    <w:rsid w:val="001B22A4"/>
    <w:rsid w:val="001B2CAE"/>
    <w:rsid w:val="001B3D92"/>
    <w:rsid w:val="001B4C5E"/>
    <w:rsid w:val="001B5026"/>
    <w:rsid w:val="001B5626"/>
    <w:rsid w:val="001B57A9"/>
    <w:rsid w:val="001B5A94"/>
    <w:rsid w:val="001B5F39"/>
    <w:rsid w:val="001B5F50"/>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A99"/>
    <w:rsid w:val="001C5F14"/>
    <w:rsid w:val="001C62A4"/>
    <w:rsid w:val="001C6A40"/>
    <w:rsid w:val="001C6FF2"/>
    <w:rsid w:val="001C7300"/>
    <w:rsid w:val="001C749B"/>
    <w:rsid w:val="001C7A58"/>
    <w:rsid w:val="001C7AE4"/>
    <w:rsid w:val="001C7B2D"/>
    <w:rsid w:val="001C7C0A"/>
    <w:rsid w:val="001C7CE3"/>
    <w:rsid w:val="001C7E22"/>
    <w:rsid w:val="001D0620"/>
    <w:rsid w:val="001D06E5"/>
    <w:rsid w:val="001D0820"/>
    <w:rsid w:val="001D0910"/>
    <w:rsid w:val="001D0F79"/>
    <w:rsid w:val="001D10A0"/>
    <w:rsid w:val="001D12F0"/>
    <w:rsid w:val="001D1582"/>
    <w:rsid w:val="001D16E1"/>
    <w:rsid w:val="001D2325"/>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D22"/>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C9E"/>
    <w:rsid w:val="00205D00"/>
    <w:rsid w:val="002062BA"/>
    <w:rsid w:val="0020637C"/>
    <w:rsid w:val="002078DE"/>
    <w:rsid w:val="00207909"/>
    <w:rsid w:val="00207DEC"/>
    <w:rsid w:val="00210340"/>
    <w:rsid w:val="00210640"/>
    <w:rsid w:val="00211201"/>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4DF"/>
    <w:rsid w:val="00222CA9"/>
    <w:rsid w:val="00222E20"/>
    <w:rsid w:val="00222E8D"/>
    <w:rsid w:val="00223204"/>
    <w:rsid w:val="002235E9"/>
    <w:rsid w:val="002237F3"/>
    <w:rsid w:val="00223E7F"/>
    <w:rsid w:val="00223FE4"/>
    <w:rsid w:val="002247C2"/>
    <w:rsid w:val="00224972"/>
    <w:rsid w:val="00224E43"/>
    <w:rsid w:val="00225229"/>
    <w:rsid w:val="002253FC"/>
    <w:rsid w:val="0022562F"/>
    <w:rsid w:val="0022578B"/>
    <w:rsid w:val="0022588F"/>
    <w:rsid w:val="00225A22"/>
    <w:rsid w:val="00225CAA"/>
    <w:rsid w:val="00225D6A"/>
    <w:rsid w:val="0022661E"/>
    <w:rsid w:val="00226961"/>
    <w:rsid w:val="00226B16"/>
    <w:rsid w:val="00226BCD"/>
    <w:rsid w:val="00226E45"/>
    <w:rsid w:val="00226E81"/>
    <w:rsid w:val="00227059"/>
    <w:rsid w:val="002271E2"/>
    <w:rsid w:val="002273C5"/>
    <w:rsid w:val="002276C7"/>
    <w:rsid w:val="00227E89"/>
    <w:rsid w:val="00230601"/>
    <w:rsid w:val="00230718"/>
    <w:rsid w:val="00230AE1"/>
    <w:rsid w:val="00230CAA"/>
    <w:rsid w:val="00230F69"/>
    <w:rsid w:val="0023124C"/>
    <w:rsid w:val="002313CB"/>
    <w:rsid w:val="002329DE"/>
    <w:rsid w:val="00232ABE"/>
    <w:rsid w:val="00232AC0"/>
    <w:rsid w:val="0023303F"/>
    <w:rsid w:val="0023335A"/>
    <w:rsid w:val="002340DF"/>
    <w:rsid w:val="00234390"/>
    <w:rsid w:val="0023493E"/>
    <w:rsid w:val="00234FA1"/>
    <w:rsid w:val="00235634"/>
    <w:rsid w:val="00235D47"/>
    <w:rsid w:val="00235E76"/>
    <w:rsid w:val="002360D1"/>
    <w:rsid w:val="002362FA"/>
    <w:rsid w:val="0023672B"/>
    <w:rsid w:val="00236845"/>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34CE"/>
    <w:rsid w:val="002436F5"/>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711B"/>
    <w:rsid w:val="00247235"/>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B86"/>
    <w:rsid w:val="00256CE3"/>
    <w:rsid w:val="00257708"/>
    <w:rsid w:val="00257754"/>
    <w:rsid w:val="0025792F"/>
    <w:rsid w:val="00257DD3"/>
    <w:rsid w:val="002603A7"/>
    <w:rsid w:val="002607C3"/>
    <w:rsid w:val="00260C5B"/>
    <w:rsid w:val="002613E8"/>
    <w:rsid w:val="00261E10"/>
    <w:rsid w:val="00261E34"/>
    <w:rsid w:val="002621BE"/>
    <w:rsid w:val="00262204"/>
    <w:rsid w:val="002626C7"/>
    <w:rsid w:val="002628C7"/>
    <w:rsid w:val="00263159"/>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263"/>
    <w:rsid w:val="002773B4"/>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4B6"/>
    <w:rsid w:val="0029768E"/>
    <w:rsid w:val="002A00C4"/>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740"/>
    <w:rsid w:val="002A674F"/>
    <w:rsid w:val="002A6B26"/>
    <w:rsid w:val="002A7177"/>
    <w:rsid w:val="002B0112"/>
    <w:rsid w:val="002B03A9"/>
    <w:rsid w:val="002B0636"/>
    <w:rsid w:val="002B07AF"/>
    <w:rsid w:val="002B0A01"/>
    <w:rsid w:val="002B0B4B"/>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D1"/>
    <w:rsid w:val="002C6A09"/>
    <w:rsid w:val="002C6A18"/>
    <w:rsid w:val="002C6AC8"/>
    <w:rsid w:val="002C6C28"/>
    <w:rsid w:val="002C6E05"/>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863"/>
    <w:rsid w:val="002E29D3"/>
    <w:rsid w:val="002E2D1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7F9"/>
    <w:rsid w:val="002F1D35"/>
    <w:rsid w:val="002F20FC"/>
    <w:rsid w:val="002F2148"/>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289"/>
    <w:rsid w:val="0030532A"/>
    <w:rsid w:val="00305C0B"/>
    <w:rsid w:val="00305C96"/>
    <w:rsid w:val="00305FD3"/>
    <w:rsid w:val="003065ED"/>
    <w:rsid w:val="003067B9"/>
    <w:rsid w:val="00306CDB"/>
    <w:rsid w:val="00307028"/>
    <w:rsid w:val="00307183"/>
    <w:rsid w:val="003072C0"/>
    <w:rsid w:val="00307315"/>
    <w:rsid w:val="0030735B"/>
    <w:rsid w:val="003077E6"/>
    <w:rsid w:val="003079B8"/>
    <w:rsid w:val="00307F42"/>
    <w:rsid w:val="00307FDB"/>
    <w:rsid w:val="003102CA"/>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D44"/>
    <w:rsid w:val="00313372"/>
    <w:rsid w:val="003133BD"/>
    <w:rsid w:val="0031365E"/>
    <w:rsid w:val="00314107"/>
    <w:rsid w:val="0031440C"/>
    <w:rsid w:val="003146FC"/>
    <w:rsid w:val="00314B26"/>
    <w:rsid w:val="00315936"/>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5F6"/>
    <w:rsid w:val="00327A49"/>
    <w:rsid w:val="00327D6B"/>
    <w:rsid w:val="00327DED"/>
    <w:rsid w:val="00330035"/>
    <w:rsid w:val="0033011A"/>
    <w:rsid w:val="0033016E"/>
    <w:rsid w:val="003304B3"/>
    <w:rsid w:val="00330520"/>
    <w:rsid w:val="00330A1B"/>
    <w:rsid w:val="00330E9D"/>
    <w:rsid w:val="00331285"/>
    <w:rsid w:val="00331960"/>
    <w:rsid w:val="00331BA9"/>
    <w:rsid w:val="00332670"/>
    <w:rsid w:val="003328C3"/>
    <w:rsid w:val="003328F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403DF"/>
    <w:rsid w:val="00340D37"/>
    <w:rsid w:val="00340EB6"/>
    <w:rsid w:val="003412BE"/>
    <w:rsid w:val="00341CCE"/>
    <w:rsid w:val="00342324"/>
    <w:rsid w:val="00342946"/>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241"/>
    <w:rsid w:val="003463E6"/>
    <w:rsid w:val="00346722"/>
    <w:rsid w:val="003470F0"/>
    <w:rsid w:val="0034728B"/>
    <w:rsid w:val="00347322"/>
    <w:rsid w:val="00347460"/>
    <w:rsid w:val="003477D0"/>
    <w:rsid w:val="00347ABB"/>
    <w:rsid w:val="00347B4F"/>
    <w:rsid w:val="00350286"/>
    <w:rsid w:val="00350E5C"/>
    <w:rsid w:val="00350F2B"/>
    <w:rsid w:val="003518D7"/>
    <w:rsid w:val="00351B2F"/>
    <w:rsid w:val="00352198"/>
    <w:rsid w:val="0035272D"/>
    <w:rsid w:val="0035296A"/>
    <w:rsid w:val="00352A5E"/>
    <w:rsid w:val="00352E08"/>
    <w:rsid w:val="00352F0A"/>
    <w:rsid w:val="00353186"/>
    <w:rsid w:val="003533B1"/>
    <w:rsid w:val="0035364E"/>
    <w:rsid w:val="00353ADA"/>
    <w:rsid w:val="00353B89"/>
    <w:rsid w:val="0035452A"/>
    <w:rsid w:val="0035455E"/>
    <w:rsid w:val="003548ED"/>
    <w:rsid w:val="003553E5"/>
    <w:rsid w:val="00355580"/>
    <w:rsid w:val="0035595E"/>
    <w:rsid w:val="00355D74"/>
    <w:rsid w:val="00355F5E"/>
    <w:rsid w:val="00356241"/>
    <w:rsid w:val="0035716A"/>
    <w:rsid w:val="00357271"/>
    <w:rsid w:val="003575F7"/>
    <w:rsid w:val="003576DA"/>
    <w:rsid w:val="0035788C"/>
    <w:rsid w:val="003579A3"/>
    <w:rsid w:val="003579CB"/>
    <w:rsid w:val="00357A02"/>
    <w:rsid w:val="0036009A"/>
    <w:rsid w:val="003609BF"/>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700E6"/>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D69"/>
    <w:rsid w:val="0037414C"/>
    <w:rsid w:val="003744F8"/>
    <w:rsid w:val="00374608"/>
    <w:rsid w:val="00374742"/>
    <w:rsid w:val="003747FA"/>
    <w:rsid w:val="0037495E"/>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149B"/>
    <w:rsid w:val="00391D4E"/>
    <w:rsid w:val="00391DB1"/>
    <w:rsid w:val="00391F91"/>
    <w:rsid w:val="00392147"/>
    <w:rsid w:val="003926D0"/>
    <w:rsid w:val="00392A3C"/>
    <w:rsid w:val="0039305C"/>
    <w:rsid w:val="003931AF"/>
    <w:rsid w:val="003937FB"/>
    <w:rsid w:val="003941B0"/>
    <w:rsid w:val="003941D7"/>
    <w:rsid w:val="00394354"/>
    <w:rsid w:val="0039496D"/>
    <w:rsid w:val="00394D98"/>
    <w:rsid w:val="00394E32"/>
    <w:rsid w:val="00395540"/>
    <w:rsid w:val="003957EB"/>
    <w:rsid w:val="00395BD8"/>
    <w:rsid w:val="0039609A"/>
    <w:rsid w:val="003960F9"/>
    <w:rsid w:val="003964D2"/>
    <w:rsid w:val="00396AA6"/>
    <w:rsid w:val="00396C8A"/>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49D6"/>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C2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6E7"/>
    <w:rsid w:val="003D18B2"/>
    <w:rsid w:val="003D1DAA"/>
    <w:rsid w:val="003D1DFF"/>
    <w:rsid w:val="003D1EBD"/>
    <w:rsid w:val="003D2034"/>
    <w:rsid w:val="003D3066"/>
    <w:rsid w:val="003D33B6"/>
    <w:rsid w:val="003D35BE"/>
    <w:rsid w:val="003D3B7C"/>
    <w:rsid w:val="003D3D76"/>
    <w:rsid w:val="003D3FA3"/>
    <w:rsid w:val="003D417E"/>
    <w:rsid w:val="003D47FA"/>
    <w:rsid w:val="003D4FC0"/>
    <w:rsid w:val="003D51D2"/>
    <w:rsid w:val="003D5267"/>
    <w:rsid w:val="003D5733"/>
    <w:rsid w:val="003D5F4F"/>
    <w:rsid w:val="003D6C1C"/>
    <w:rsid w:val="003D73D6"/>
    <w:rsid w:val="003D7CFF"/>
    <w:rsid w:val="003E0D6C"/>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915"/>
    <w:rsid w:val="004009F8"/>
    <w:rsid w:val="00400CFC"/>
    <w:rsid w:val="00401038"/>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834"/>
    <w:rsid w:val="004640D7"/>
    <w:rsid w:val="00464A4E"/>
    <w:rsid w:val="00464A8C"/>
    <w:rsid w:val="00465581"/>
    <w:rsid w:val="00465A6A"/>
    <w:rsid w:val="00465D59"/>
    <w:rsid w:val="00465E60"/>
    <w:rsid w:val="00466193"/>
    <w:rsid w:val="004663DA"/>
    <w:rsid w:val="00466695"/>
    <w:rsid w:val="004669C4"/>
    <w:rsid w:val="00466CB9"/>
    <w:rsid w:val="00466FC9"/>
    <w:rsid w:val="004671F4"/>
    <w:rsid w:val="0046794A"/>
    <w:rsid w:val="00467AE9"/>
    <w:rsid w:val="00467F5E"/>
    <w:rsid w:val="0047014E"/>
    <w:rsid w:val="00470565"/>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5B4"/>
    <w:rsid w:val="00473761"/>
    <w:rsid w:val="004737A0"/>
    <w:rsid w:val="00473C14"/>
    <w:rsid w:val="00473DD4"/>
    <w:rsid w:val="00474076"/>
    <w:rsid w:val="0047485A"/>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F8B"/>
    <w:rsid w:val="004B33C4"/>
    <w:rsid w:val="004B389F"/>
    <w:rsid w:val="004B3D43"/>
    <w:rsid w:val="004B3EAC"/>
    <w:rsid w:val="004B40B1"/>
    <w:rsid w:val="004B434A"/>
    <w:rsid w:val="004B46C1"/>
    <w:rsid w:val="004B4A5A"/>
    <w:rsid w:val="004B4ACE"/>
    <w:rsid w:val="004B5AC2"/>
    <w:rsid w:val="004B5BF9"/>
    <w:rsid w:val="004B61A7"/>
    <w:rsid w:val="004B6AB2"/>
    <w:rsid w:val="004B6B75"/>
    <w:rsid w:val="004B6CCC"/>
    <w:rsid w:val="004B74CA"/>
    <w:rsid w:val="004B74E7"/>
    <w:rsid w:val="004B7B13"/>
    <w:rsid w:val="004B7B62"/>
    <w:rsid w:val="004C01D1"/>
    <w:rsid w:val="004C0545"/>
    <w:rsid w:val="004C107B"/>
    <w:rsid w:val="004C1E0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6F39"/>
    <w:rsid w:val="004C74E0"/>
    <w:rsid w:val="004C78E1"/>
    <w:rsid w:val="004D0226"/>
    <w:rsid w:val="004D08C5"/>
    <w:rsid w:val="004D0EBD"/>
    <w:rsid w:val="004D1191"/>
    <w:rsid w:val="004D1490"/>
    <w:rsid w:val="004D15F3"/>
    <w:rsid w:val="004D17FB"/>
    <w:rsid w:val="004D1FC8"/>
    <w:rsid w:val="004D22D3"/>
    <w:rsid w:val="004D25DC"/>
    <w:rsid w:val="004D26EC"/>
    <w:rsid w:val="004D3288"/>
    <w:rsid w:val="004D353F"/>
    <w:rsid w:val="004D36C5"/>
    <w:rsid w:val="004D3778"/>
    <w:rsid w:val="004D39D7"/>
    <w:rsid w:val="004D3BC9"/>
    <w:rsid w:val="004D4715"/>
    <w:rsid w:val="004D47BE"/>
    <w:rsid w:val="004D4AC6"/>
    <w:rsid w:val="004D4AE4"/>
    <w:rsid w:val="004D56A9"/>
    <w:rsid w:val="004D5706"/>
    <w:rsid w:val="004D5901"/>
    <w:rsid w:val="004D5F9B"/>
    <w:rsid w:val="004D67C7"/>
    <w:rsid w:val="004D7127"/>
    <w:rsid w:val="004D7327"/>
    <w:rsid w:val="004D738B"/>
    <w:rsid w:val="004D7935"/>
    <w:rsid w:val="004D7ACD"/>
    <w:rsid w:val="004D7B8E"/>
    <w:rsid w:val="004D7E93"/>
    <w:rsid w:val="004D7F48"/>
    <w:rsid w:val="004E01EC"/>
    <w:rsid w:val="004E01ED"/>
    <w:rsid w:val="004E053A"/>
    <w:rsid w:val="004E05B5"/>
    <w:rsid w:val="004E16BA"/>
    <w:rsid w:val="004E17FA"/>
    <w:rsid w:val="004E1B2F"/>
    <w:rsid w:val="004E1DD3"/>
    <w:rsid w:val="004E1E66"/>
    <w:rsid w:val="004E20D5"/>
    <w:rsid w:val="004E21F6"/>
    <w:rsid w:val="004E221B"/>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DD5"/>
    <w:rsid w:val="00503E03"/>
    <w:rsid w:val="0050402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3A6"/>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84F"/>
    <w:rsid w:val="00537FB1"/>
    <w:rsid w:val="00540105"/>
    <w:rsid w:val="005403DF"/>
    <w:rsid w:val="0054078C"/>
    <w:rsid w:val="005407BF"/>
    <w:rsid w:val="00540993"/>
    <w:rsid w:val="00540E25"/>
    <w:rsid w:val="0054108A"/>
    <w:rsid w:val="0054223D"/>
    <w:rsid w:val="00542533"/>
    <w:rsid w:val="0054287E"/>
    <w:rsid w:val="005428D2"/>
    <w:rsid w:val="0054293C"/>
    <w:rsid w:val="00543267"/>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098"/>
    <w:rsid w:val="00554486"/>
    <w:rsid w:val="0055459F"/>
    <w:rsid w:val="0055480C"/>
    <w:rsid w:val="00555205"/>
    <w:rsid w:val="005553C9"/>
    <w:rsid w:val="00556137"/>
    <w:rsid w:val="0055634B"/>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7115"/>
    <w:rsid w:val="005673E9"/>
    <w:rsid w:val="005674E4"/>
    <w:rsid w:val="00567B38"/>
    <w:rsid w:val="00567C77"/>
    <w:rsid w:val="00567F3E"/>
    <w:rsid w:val="005701E4"/>
    <w:rsid w:val="00570A93"/>
    <w:rsid w:val="00570C48"/>
    <w:rsid w:val="00571312"/>
    <w:rsid w:val="00572D2F"/>
    <w:rsid w:val="00572DE5"/>
    <w:rsid w:val="00573199"/>
    <w:rsid w:val="00574204"/>
    <w:rsid w:val="0057423B"/>
    <w:rsid w:val="0057454E"/>
    <w:rsid w:val="005746BF"/>
    <w:rsid w:val="0057526E"/>
    <w:rsid w:val="00575378"/>
    <w:rsid w:val="005753F6"/>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800E6"/>
    <w:rsid w:val="005803A9"/>
    <w:rsid w:val="0058043D"/>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38F0"/>
    <w:rsid w:val="00583AE2"/>
    <w:rsid w:val="0058435F"/>
    <w:rsid w:val="005849A1"/>
    <w:rsid w:val="00584CB3"/>
    <w:rsid w:val="00585583"/>
    <w:rsid w:val="00585BA6"/>
    <w:rsid w:val="0058603F"/>
    <w:rsid w:val="0058630F"/>
    <w:rsid w:val="00586603"/>
    <w:rsid w:val="00586644"/>
    <w:rsid w:val="0058680B"/>
    <w:rsid w:val="00586A87"/>
    <w:rsid w:val="005875B3"/>
    <w:rsid w:val="00587E7C"/>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6907"/>
    <w:rsid w:val="00597999"/>
    <w:rsid w:val="005979D0"/>
    <w:rsid w:val="00597B48"/>
    <w:rsid w:val="00597C9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998"/>
    <w:rsid w:val="005B0C96"/>
    <w:rsid w:val="005B1019"/>
    <w:rsid w:val="005B1295"/>
    <w:rsid w:val="005B1525"/>
    <w:rsid w:val="005B18AA"/>
    <w:rsid w:val="005B1BA6"/>
    <w:rsid w:val="005B2058"/>
    <w:rsid w:val="005B2182"/>
    <w:rsid w:val="005B2E48"/>
    <w:rsid w:val="005B359A"/>
    <w:rsid w:val="005B3756"/>
    <w:rsid w:val="005B3A64"/>
    <w:rsid w:val="005B3B3B"/>
    <w:rsid w:val="005B40AB"/>
    <w:rsid w:val="005B40EE"/>
    <w:rsid w:val="005B4559"/>
    <w:rsid w:val="005B456A"/>
    <w:rsid w:val="005B4EC1"/>
    <w:rsid w:val="005B50B6"/>
    <w:rsid w:val="005B51C3"/>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21A2"/>
    <w:rsid w:val="005C25FB"/>
    <w:rsid w:val="005C2A00"/>
    <w:rsid w:val="005C2AF1"/>
    <w:rsid w:val="005C2F17"/>
    <w:rsid w:val="005C3050"/>
    <w:rsid w:val="005C3093"/>
    <w:rsid w:val="005C309F"/>
    <w:rsid w:val="005C316B"/>
    <w:rsid w:val="005C39E6"/>
    <w:rsid w:val="005C3D7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515"/>
    <w:rsid w:val="005E383A"/>
    <w:rsid w:val="005E399A"/>
    <w:rsid w:val="005E44EE"/>
    <w:rsid w:val="005E4B7F"/>
    <w:rsid w:val="005E4BA9"/>
    <w:rsid w:val="005E4CCD"/>
    <w:rsid w:val="005E4E93"/>
    <w:rsid w:val="005E4FD1"/>
    <w:rsid w:val="005E515F"/>
    <w:rsid w:val="005E51B6"/>
    <w:rsid w:val="005E52CF"/>
    <w:rsid w:val="005E54A4"/>
    <w:rsid w:val="005E5642"/>
    <w:rsid w:val="005E598C"/>
    <w:rsid w:val="005E5E00"/>
    <w:rsid w:val="005E64BF"/>
    <w:rsid w:val="005E6603"/>
    <w:rsid w:val="005E665F"/>
    <w:rsid w:val="005E6FA3"/>
    <w:rsid w:val="005E722C"/>
    <w:rsid w:val="005E725F"/>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2A7"/>
    <w:rsid w:val="00606473"/>
    <w:rsid w:val="00606876"/>
    <w:rsid w:val="00606AFF"/>
    <w:rsid w:val="00606EF9"/>
    <w:rsid w:val="0060753B"/>
    <w:rsid w:val="00607697"/>
    <w:rsid w:val="00607854"/>
    <w:rsid w:val="006078F4"/>
    <w:rsid w:val="00607E14"/>
    <w:rsid w:val="006100C9"/>
    <w:rsid w:val="0061015E"/>
    <w:rsid w:val="006102EA"/>
    <w:rsid w:val="00610609"/>
    <w:rsid w:val="0061089C"/>
    <w:rsid w:val="00610F8D"/>
    <w:rsid w:val="006110F8"/>
    <w:rsid w:val="006111B1"/>
    <w:rsid w:val="00611330"/>
    <w:rsid w:val="006114BC"/>
    <w:rsid w:val="00612013"/>
    <w:rsid w:val="00612016"/>
    <w:rsid w:val="006121B5"/>
    <w:rsid w:val="006121C3"/>
    <w:rsid w:val="006124F6"/>
    <w:rsid w:val="00612726"/>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105F"/>
    <w:rsid w:val="00621185"/>
    <w:rsid w:val="006212F5"/>
    <w:rsid w:val="00621467"/>
    <w:rsid w:val="00621B34"/>
    <w:rsid w:val="0062223C"/>
    <w:rsid w:val="00622498"/>
    <w:rsid w:val="006227AE"/>
    <w:rsid w:val="006227B5"/>
    <w:rsid w:val="0062282F"/>
    <w:rsid w:val="00622AEB"/>
    <w:rsid w:val="006230DE"/>
    <w:rsid w:val="00623104"/>
    <w:rsid w:val="006235C9"/>
    <w:rsid w:val="006238EB"/>
    <w:rsid w:val="006239FD"/>
    <w:rsid w:val="0062420B"/>
    <w:rsid w:val="00624368"/>
    <w:rsid w:val="00624692"/>
    <w:rsid w:val="00624BA6"/>
    <w:rsid w:val="00624E63"/>
    <w:rsid w:val="0062531C"/>
    <w:rsid w:val="00625503"/>
    <w:rsid w:val="00625855"/>
    <w:rsid w:val="00625E3D"/>
    <w:rsid w:val="00626318"/>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451C"/>
    <w:rsid w:val="0063474F"/>
    <w:rsid w:val="006349D6"/>
    <w:rsid w:val="006349F3"/>
    <w:rsid w:val="00634C44"/>
    <w:rsid w:val="00634DC9"/>
    <w:rsid w:val="00634F67"/>
    <w:rsid w:val="00635841"/>
    <w:rsid w:val="0063594D"/>
    <w:rsid w:val="00635A35"/>
    <w:rsid w:val="00635E8F"/>
    <w:rsid w:val="00636049"/>
    <w:rsid w:val="00636609"/>
    <w:rsid w:val="006368DE"/>
    <w:rsid w:val="00636ED4"/>
    <w:rsid w:val="00636EE5"/>
    <w:rsid w:val="00637543"/>
    <w:rsid w:val="006377BE"/>
    <w:rsid w:val="00637E46"/>
    <w:rsid w:val="00640158"/>
    <w:rsid w:val="0064049D"/>
    <w:rsid w:val="00640740"/>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867"/>
    <w:rsid w:val="00643DC5"/>
    <w:rsid w:val="0064416A"/>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31"/>
    <w:rsid w:val="00667C5F"/>
    <w:rsid w:val="00667E21"/>
    <w:rsid w:val="00667F67"/>
    <w:rsid w:val="006700E8"/>
    <w:rsid w:val="0067034B"/>
    <w:rsid w:val="006704A6"/>
    <w:rsid w:val="006707A1"/>
    <w:rsid w:val="0067098B"/>
    <w:rsid w:val="006715E9"/>
    <w:rsid w:val="00671681"/>
    <w:rsid w:val="00671816"/>
    <w:rsid w:val="006718CF"/>
    <w:rsid w:val="0067193E"/>
    <w:rsid w:val="00671946"/>
    <w:rsid w:val="00672021"/>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905"/>
    <w:rsid w:val="00683194"/>
    <w:rsid w:val="006834E0"/>
    <w:rsid w:val="00683D66"/>
    <w:rsid w:val="00684573"/>
    <w:rsid w:val="006849E5"/>
    <w:rsid w:val="00684D5E"/>
    <w:rsid w:val="0068566E"/>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8A1"/>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63A0"/>
    <w:rsid w:val="0069675F"/>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CCF"/>
    <w:rsid w:val="006B0D14"/>
    <w:rsid w:val="006B0D53"/>
    <w:rsid w:val="006B0E5D"/>
    <w:rsid w:val="006B1100"/>
    <w:rsid w:val="006B1C12"/>
    <w:rsid w:val="006B2025"/>
    <w:rsid w:val="006B24A9"/>
    <w:rsid w:val="006B26DB"/>
    <w:rsid w:val="006B2831"/>
    <w:rsid w:val="006B2897"/>
    <w:rsid w:val="006B2982"/>
    <w:rsid w:val="006B2989"/>
    <w:rsid w:val="006B2CD3"/>
    <w:rsid w:val="006B331B"/>
    <w:rsid w:val="006B36A8"/>
    <w:rsid w:val="006B37D1"/>
    <w:rsid w:val="006B4222"/>
    <w:rsid w:val="006B4C4C"/>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985"/>
    <w:rsid w:val="006C0C03"/>
    <w:rsid w:val="006C0C80"/>
    <w:rsid w:val="006C0EAD"/>
    <w:rsid w:val="006C0F40"/>
    <w:rsid w:val="006C1859"/>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6FCF"/>
    <w:rsid w:val="006D701E"/>
    <w:rsid w:val="006D7055"/>
    <w:rsid w:val="006D7252"/>
    <w:rsid w:val="006D735B"/>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0F9B"/>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D9"/>
    <w:rsid w:val="006F500C"/>
    <w:rsid w:val="006F5377"/>
    <w:rsid w:val="006F53DC"/>
    <w:rsid w:val="006F5560"/>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DBD"/>
    <w:rsid w:val="0070226D"/>
    <w:rsid w:val="0070228F"/>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EB"/>
    <w:rsid w:val="007067F7"/>
    <w:rsid w:val="00706F43"/>
    <w:rsid w:val="00707302"/>
    <w:rsid w:val="00707B3D"/>
    <w:rsid w:val="007100CD"/>
    <w:rsid w:val="0071010B"/>
    <w:rsid w:val="00710968"/>
    <w:rsid w:val="0071265A"/>
    <w:rsid w:val="00713191"/>
    <w:rsid w:val="00713B57"/>
    <w:rsid w:val="00713BCF"/>
    <w:rsid w:val="00713D5C"/>
    <w:rsid w:val="00713FE5"/>
    <w:rsid w:val="00714993"/>
    <w:rsid w:val="00714B33"/>
    <w:rsid w:val="00714CC3"/>
    <w:rsid w:val="00714D0E"/>
    <w:rsid w:val="00714D33"/>
    <w:rsid w:val="0071521A"/>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04B"/>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12D"/>
    <w:rsid w:val="00725583"/>
    <w:rsid w:val="00725FEC"/>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952"/>
    <w:rsid w:val="0073695F"/>
    <w:rsid w:val="00736D42"/>
    <w:rsid w:val="00736DBE"/>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D"/>
    <w:rsid w:val="00744272"/>
    <w:rsid w:val="00744646"/>
    <w:rsid w:val="00744D2C"/>
    <w:rsid w:val="0074515A"/>
    <w:rsid w:val="0074528B"/>
    <w:rsid w:val="00745299"/>
    <w:rsid w:val="00745EF8"/>
    <w:rsid w:val="007461A4"/>
    <w:rsid w:val="00746205"/>
    <w:rsid w:val="0074626A"/>
    <w:rsid w:val="00746A4C"/>
    <w:rsid w:val="00746E7B"/>
    <w:rsid w:val="007476EF"/>
    <w:rsid w:val="00747C0B"/>
    <w:rsid w:val="00747C40"/>
    <w:rsid w:val="00747F7D"/>
    <w:rsid w:val="00750055"/>
    <w:rsid w:val="007500A5"/>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67D"/>
    <w:rsid w:val="00756EFE"/>
    <w:rsid w:val="0075751F"/>
    <w:rsid w:val="00757533"/>
    <w:rsid w:val="00757B05"/>
    <w:rsid w:val="00757D04"/>
    <w:rsid w:val="00757FBA"/>
    <w:rsid w:val="00757FD7"/>
    <w:rsid w:val="00760844"/>
    <w:rsid w:val="00760BAB"/>
    <w:rsid w:val="00760EC7"/>
    <w:rsid w:val="007616B3"/>
    <w:rsid w:val="00761C60"/>
    <w:rsid w:val="0076239F"/>
    <w:rsid w:val="007624A8"/>
    <w:rsid w:val="0076280A"/>
    <w:rsid w:val="00762847"/>
    <w:rsid w:val="00762898"/>
    <w:rsid w:val="00762C3C"/>
    <w:rsid w:val="00763017"/>
    <w:rsid w:val="007634B1"/>
    <w:rsid w:val="007637F3"/>
    <w:rsid w:val="00763A2A"/>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1168"/>
    <w:rsid w:val="0077122C"/>
    <w:rsid w:val="0077182A"/>
    <w:rsid w:val="00771863"/>
    <w:rsid w:val="0077190C"/>
    <w:rsid w:val="007719D4"/>
    <w:rsid w:val="00771B1F"/>
    <w:rsid w:val="00771FAA"/>
    <w:rsid w:val="007721B6"/>
    <w:rsid w:val="00772DF4"/>
    <w:rsid w:val="00773131"/>
    <w:rsid w:val="00773383"/>
    <w:rsid w:val="00773C6B"/>
    <w:rsid w:val="00774470"/>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4A43"/>
    <w:rsid w:val="007852EC"/>
    <w:rsid w:val="0078536E"/>
    <w:rsid w:val="007857F8"/>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EEE"/>
    <w:rsid w:val="00787F5D"/>
    <w:rsid w:val="007900D0"/>
    <w:rsid w:val="00790152"/>
    <w:rsid w:val="00790388"/>
    <w:rsid w:val="0079041C"/>
    <w:rsid w:val="00790A25"/>
    <w:rsid w:val="007910CE"/>
    <w:rsid w:val="00791262"/>
    <w:rsid w:val="007914F9"/>
    <w:rsid w:val="007918AE"/>
    <w:rsid w:val="00791AFD"/>
    <w:rsid w:val="00791C29"/>
    <w:rsid w:val="00791EAD"/>
    <w:rsid w:val="00792609"/>
    <w:rsid w:val="007926E2"/>
    <w:rsid w:val="00792A9D"/>
    <w:rsid w:val="00792F10"/>
    <w:rsid w:val="007931BD"/>
    <w:rsid w:val="00793743"/>
    <w:rsid w:val="00793FBF"/>
    <w:rsid w:val="00794A11"/>
    <w:rsid w:val="00794ED0"/>
    <w:rsid w:val="0079518B"/>
    <w:rsid w:val="00795203"/>
    <w:rsid w:val="0079579C"/>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7FE"/>
    <w:rsid w:val="007A4C0C"/>
    <w:rsid w:val="007A5576"/>
    <w:rsid w:val="007A5B91"/>
    <w:rsid w:val="007A5EEE"/>
    <w:rsid w:val="007A6042"/>
    <w:rsid w:val="007A6755"/>
    <w:rsid w:val="007A6817"/>
    <w:rsid w:val="007A69C1"/>
    <w:rsid w:val="007A6ED3"/>
    <w:rsid w:val="007A7246"/>
    <w:rsid w:val="007A7711"/>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3373"/>
    <w:rsid w:val="007C36F9"/>
    <w:rsid w:val="007C393C"/>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F57"/>
    <w:rsid w:val="007D2139"/>
    <w:rsid w:val="007D2422"/>
    <w:rsid w:val="007D2765"/>
    <w:rsid w:val="007D288E"/>
    <w:rsid w:val="007D2C12"/>
    <w:rsid w:val="007D2C9D"/>
    <w:rsid w:val="007D2FA2"/>
    <w:rsid w:val="007D37F4"/>
    <w:rsid w:val="007D3C01"/>
    <w:rsid w:val="007D3C6B"/>
    <w:rsid w:val="007D3C8E"/>
    <w:rsid w:val="007D40CC"/>
    <w:rsid w:val="007D467D"/>
    <w:rsid w:val="007D4C58"/>
    <w:rsid w:val="007D4CEB"/>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88C"/>
    <w:rsid w:val="007E6D3A"/>
    <w:rsid w:val="007E70F8"/>
    <w:rsid w:val="007E721D"/>
    <w:rsid w:val="007E72F3"/>
    <w:rsid w:val="007E7645"/>
    <w:rsid w:val="007E7BD9"/>
    <w:rsid w:val="007E7BF4"/>
    <w:rsid w:val="007E7C62"/>
    <w:rsid w:val="007E7E6B"/>
    <w:rsid w:val="007F0F26"/>
    <w:rsid w:val="007F1EE6"/>
    <w:rsid w:val="007F2BD4"/>
    <w:rsid w:val="007F2E1C"/>
    <w:rsid w:val="007F30C9"/>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2555"/>
    <w:rsid w:val="008027BB"/>
    <w:rsid w:val="00802B20"/>
    <w:rsid w:val="00802CA0"/>
    <w:rsid w:val="00803637"/>
    <w:rsid w:val="00803903"/>
    <w:rsid w:val="00803A76"/>
    <w:rsid w:val="00803F85"/>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AB9"/>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565"/>
    <w:rsid w:val="00821689"/>
    <w:rsid w:val="00821892"/>
    <w:rsid w:val="008219DD"/>
    <w:rsid w:val="00821CF2"/>
    <w:rsid w:val="00821FEF"/>
    <w:rsid w:val="00822A9B"/>
    <w:rsid w:val="00822CEE"/>
    <w:rsid w:val="00823004"/>
    <w:rsid w:val="00823410"/>
    <w:rsid w:val="008235EF"/>
    <w:rsid w:val="00823829"/>
    <w:rsid w:val="0082421B"/>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527D"/>
    <w:rsid w:val="00835283"/>
    <w:rsid w:val="008357B6"/>
    <w:rsid w:val="00835E2C"/>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440"/>
    <w:rsid w:val="008447D8"/>
    <w:rsid w:val="008447DE"/>
    <w:rsid w:val="0084494F"/>
    <w:rsid w:val="00844C81"/>
    <w:rsid w:val="00844CB8"/>
    <w:rsid w:val="008451B5"/>
    <w:rsid w:val="00845246"/>
    <w:rsid w:val="0084547C"/>
    <w:rsid w:val="0084570F"/>
    <w:rsid w:val="0084573D"/>
    <w:rsid w:val="008459CC"/>
    <w:rsid w:val="00845DA9"/>
    <w:rsid w:val="00846089"/>
    <w:rsid w:val="008467CB"/>
    <w:rsid w:val="0084694A"/>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2721"/>
    <w:rsid w:val="00862960"/>
    <w:rsid w:val="00862AC2"/>
    <w:rsid w:val="00862CA3"/>
    <w:rsid w:val="008638D0"/>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0F68"/>
    <w:rsid w:val="00871224"/>
    <w:rsid w:val="00871B2D"/>
    <w:rsid w:val="00871B88"/>
    <w:rsid w:val="00871BA4"/>
    <w:rsid w:val="00871E04"/>
    <w:rsid w:val="00871F5F"/>
    <w:rsid w:val="0087229C"/>
    <w:rsid w:val="00872370"/>
    <w:rsid w:val="0087266A"/>
    <w:rsid w:val="00872845"/>
    <w:rsid w:val="00872B1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721"/>
    <w:rsid w:val="0087781D"/>
    <w:rsid w:val="00877B40"/>
    <w:rsid w:val="00877E46"/>
    <w:rsid w:val="008801D5"/>
    <w:rsid w:val="00880E6F"/>
    <w:rsid w:val="00880F15"/>
    <w:rsid w:val="00880F56"/>
    <w:rsid w:val="0088107B"/>
    <w:rsid w:val="0088138B"/>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65"/>
    <w:rsid w:val="00885863"/>
    <w:rsid w:val="00885CFF"/>
    <w:rsid w:val="00885E18"/>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78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A3D"/>
    <w:rsid w:val="008A14DF"/>
    <w:rsid w:val="008A153D"/>
    <w:rsid w:val="008A15BD"/>
    <w:rsid w:val="008A16F8"/>
    <w:rsid w:val="008A16F9"/>
    <w:rsid w:val="008A1BC9"/>
    <w:rsid w:val="008A2798"/>
    <w:rsid w:val="008A2BE7"/>
    <w:rsid w:val="008A2D63"/>
    <w:rsid w:val="008A362D"/>
    <w:rsid w:val="008A3EBD"/>
    <w:rsid w:val="008A40AB"/>
    <w:rsid w:val="008A4277"/>
    <w:rsid w:val="008A42B8"/>
    <w:rsid w:val="008A494E"/>
    <w:rsid w:val="008A49F5"/>
    <w:rsid w:val="008A4AE9"/>
    <w:rsid w:val="008A4D42"/>
    <w:rsid w:val="008A4E42"/>
    <w:rsid w:val="008A506C"/>
    <w:rsid w:val="008A5405"/>
    <w:rsid w:val="008A5554"/>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41B"/>
    <w:rsid w:val="008C0C97"/>
    <w:rsid w:val="008C0D54"/>
    <w:rsid w:val="008C1002"/>
    <w:rsid w:val="008C1225"/>
    <w:rsid w:val="008C1D30"/>
    <w:rsid w:val="008C1DA2"/>
    <w:rsid w:val="008C1F0D"/>
    <w:rsid w:val="008C2BDB"/>
    <w:rsid w:val="008C31FA"/>
    <w:rsid w:val="008C3438"/>
    <w:rsid w:val="008C3470"/>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7620"/>
    <w:rsid w:val="008C7858"/>
    <w:rsid w:val="008C7AE2"/>
    <w:rsid w:val="008C7AFF"/>
    <w:rsid w:val="008C7EDA"/>
    <w:rsid w:val="008C7FDE"/>
    <w:rsid w:val="008D000B"/>
    <w:rsid w:val="008D055B"/>
    <w:rsid w:val="008D07E0"/>
    <w:rsid w:val="008D0921"/>
    <w:rsid w:val="008D0B6D"/>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71B"/>
    <w:rsid w:val="00900768"/>
    <w:rsid w:val="00900D45"/>
    <w:rsid w:val="00900F37"/>
    <w:rsid w:val="00900F9E"/>
    <w:rsid w:val="00901612"/>
    <w:rsid w:val="00901779"/>
    <w:rsid w:val="009018BA"/>
    <w:rsid w:val="00901AA7"/>
    <w:rsid w:val="0090243D"/>
    <w:rsid w:val="00902AE2"/>
    <w:rsid w:val="0090318E"/>
    <w:rsid w:val="00903238"/>
    <w:rsid w:val="00903717"/>
    <w:rsid w:val="00903C46"/>
    <w:rsid w:val="00903DA8"/>
    <w:rsid w:val="009040E6"/>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A6"/>
    <w:rsid w:val="00913494"/>
    <w:rsid w:val="00913C84"/>
    <w:rsid w:val="00913E70"/>
    <w:rsid w:val="009152F3"/>
    <w:rsid w:val="00915751"/>
    <w:rsid w:val="00915B8E"/>
    <w:rsid w:val="00915C70"/>
    <w:rsid w:val="00916070"/>
    <w:rsid w:val="0091627F"/>
    <w:rsid w:val="0091649C"/>
    <w:rsid w:val="009166E0"/>
    <w:rsid w:val="00916C37"/>
    <w:rsid w:val="00916EDF"/>
    <w:rsid w:val="0091706C"/>
    <w:rsid w:val="009170B7"/>
    <w:rsid w:val="0091711F"/>
    <w:rsid w:val="00917EF1"/>
    <w:rsid w:val="00920456"/>
    <w:rsid w:val="009209B4"/>
    <w:rsid w:val="00920B8B"/>
    <w:rsid w:val="00920D10"/>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518D"/>
    <w:rsid w:val="00925ED2"/>
    <w:rsid w:val="009262BD"/>
    <w:rsid w:val="00926B29"/>
    <w:rsid w:val="00926FE4"/>
    <w:rsid w:val="009272C2"/>
    <w:rsid w:val="0092798C"/>
    <w:rsid w:val="00927A50"/>
    <w:rsid w:val="00927B98"/>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2B7"/>
    <w:rsid w:val="00974887"/>
    <w:rsid w:val="00974F42"/>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333D"/>
    <w:rsid w:val="00983353"/>
    <w:rsid w:val="009836ED"/>
    <w:rsid w:val="00983F3C"/>
    <w:rsid w:val="009841E5"/>
    <w:rsid w:val="0098493D"/>
    <w:rsid w:val="00984E57"/>
    <w:rsid w:val="00985341"/>
    <w:rsid w:val="009856EC"/>
    <w:rsid w:val="00985753"/>
    <w:rsid w:val="00985BAC"/>
    <w:rsid w:val="00985E58"/>
    <w:rsid w:val="009862B4"/>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7C9"/>
    <w:rsid w:val="00994A7B"/>
    <w:rsid w:val="009956E6"/>
    <w:rsid w:val="009957E7"/>
    <w:rsid w:val="00995A5D"/>
    <w:rsid w:val="00995B59"/>
    <w:rsid w:val="00995FB2"/>
    <w:rsid w:val="0099636C"/>
    <w:rsid w:val="009969A5"/>
    <w:rsid w:val="00996B77"/>
    <w:rsid w:val="00996E97"/>
    <w:rsid w:val="00996F38"/>
    <w:rsid w:val="009975F1"/>
    <w:rsid w:val="0099779E"/>
    <w:rsid w:val="009979D9"/>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CC4"/>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331"/>
    <w:rsid w:val="009C0C07"/>
    <w:rsid w:val="009C0C55"/>
    <w:rsid w:val="009C1236"/>
    <w:rsid w:val="009C164F"/>
    <w:rsid w:val="009C1688"/>
    <w:rsid w:val="009C16FD"/>
    <w:rsid w:val="009C1845"/>
    <w:rsid w:val="009C1ADD"/>
    <w:rsid w:val="009C1BA4"/>
    <w:rsid w:val="009C3324"/>
    <w:rsid w:val="009C339F"/>
    <w:rsid w:val="009C33DB"/>
    <w:rsid w:val="009C3F4E"/>
    <w:rsid w:val="009C48F1"/>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1100"/>
    <w:rsid w:val="009D156A"/>
    <w:rsid w:val="009D16F3"/>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6F3"/>
    <w:rsid w:val="009D680B"/>
    <w:rsid w:val="009D702E"/>
    <w:rsid w:val="009D7A10"/>
    <w:rsid w:val="009D7C33"/>
    <w:rsid w:val="009D7F81"/>
    <w:rsid w:val="009E0211"/>
    <w:rsid w:val="009E0D21"/>
    <w:rsid w:val="009E0F67"/>
    <w:rsid w:val="009E119A"/>
    <w:rsid w:val="009E1223"/>
    <w:rsid w:val="009E1373"/>
    <w:rsid w:val="009E151C"/>
    <w:rsid w:val="009E1CB5"/>
    <w:rsid w:val="009E23C3"/>
    <w:rsid w:val="009E2929"/>
    <w:rsid w:val="009E2BB6"/>
    <w:rsid w:val="009E2C80"/>
    <w:rsid w:val="009E31B1"/>
    <w:rsid w:val="009E33FB"/>
    <w:rsid w:val="009E3694"/>
    <w:rsid w:val="009E3771"/>
    <w:rsid w:val="009E489F"/>
    <w:rsid w:val="009E4969"/>
    <w:rsid w:val="009E4DC6"/>
    <w:rsid w:val="009E523D"/>
    <w:rsid w:val="009E5544"/>
    <w:rsid w:val="009E6048"/>
    <w:rsid w:val="009E638D"/>
    <w:rsid w:val="009E66E4"/>
    <w:rsid w:val="009E6EB5"/>
    <w:rsid w:val="009E74E4"/>
    <w:rsid w:val="009F052C"/>
    <w:rsid w:val="009F06A8"/>
    <w:rsid w:val="009F07A2"/>
    <w:rsid w:val="009F0F49"/>
    <w:rsid w:val="009F1407"/>
    <w:rsid w:val="009F1854"/>
    <w:rsid w:val="009F1DA6"/>
    <w:rsid w:val="009F20A1"/>
    <w:rsid w:val="009F26CA"/>
    <w:rsid w:val="009F28C8"/>
    <w:rsid w:val="009F30CD"/>
    <w:rsid w:val="009F3244"/>
    <w:rsid w:val="009F3F55"/>
    <w:rsid w:val="009F4092"/>
    <w:rsid w:val="009F4167"/>
    <w:rsid w:val="009F4779"/>
    <w:rsid w:val="009F483D"/>
    <w:rsid w:val="009F4A1F"/>
    <w:rsid w:val="009F513E"/>
    <w:rsid w:val="009F54D8"/>
    <w:rsid w:val="009F56E1"/>
    <w:rsid w:val="009F584B"/>
    <w:rsid w:val="009F5A17"/>
    <w:rsid w:val="009F5C9E"/>
    <w:rsid w:val="009F5CE8"/>
    <w:rsid w:val="009F5E09"/>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9FE"/>
    <w:rsid w:val="00A16E8A"/>
    <w:rsid w:val="00A173C8"/>
    <w:rsid w:val="00A1774F"/>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913"/>
    <w:rsid w:val="00A35D9F"/>
    <w:rsid w:val="00A36478"/>
    <w:rsid w:val="00A3654B"/>
    <w:rsid w:val="00A36570"/>
    <w:rsid w:val="00A36B50"/>
    <w:rsid w:val="00A371E9"/>
    <w:rsid w:val="00A372E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C38"/>
    <w:rsid w:val="00A41E0B"/>
    <w:rsid w:val="00A4201A"/>
    <w:rsid w:val="00A427FE"/>
    <w:rsid w:val="00A42A76"/>
    <w:rsid w:val="00A438F5"/>
    <w:rsid w:val="00A43C02"/>
    <w:rsid w:val="00A43CDC"/>
    <w:rsid w:val="00A43EED"/>
    <w:rsid w:val="00A44260"/>
    <w:rsid w:val="00A44451"/>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5E18"/>
    <w:rsid w:val="00A56894"/>
    <w:rsid w:val="00A569A1"/>
    <w:rsid w:val="00A57435"/>
    <w:rsid w:val="00A60672"/>
    <w:rsid w:val="00A60934"/>
    <w:rsid w:val="00A62767"/>
    <w:rsid w:val="00A62C2B"/>
    <w:rsid w:val="00A62F9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CDF"/>
    <w:rsid w:val="00A70D16"/>
    <w:rsid w:val="00A71234"/>
    <w:rsid w:val="00A71663"/>
    <w:rsid w:val="00A718CE"/>
    <w:rsid w:val="00A71A7F"/>
    <w:rsid w:val="00A71D8D"/>
    <w:rsid w:val="00A71DE3"/>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2D0"/>
    <w:rsid w:val="00A768FD"/>
    <w:rsid w:val="00A76930"/>
    <w:rsid w:val="00A76DCC"/>
    <w:rsid w:val="00A76E5E"/>
    <w:rsid w:val="00A772D8"/>
    <w:rsid w:val="00A7745E"/>
    <w:rsid w:val="00A77A53"/>
    <w:rsid w:val="00A800B3"/>
    <w:rsid w:val="00A80635"/>
    <w:rsid w:val="00A80937"/>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2993"/>
    <w:rsid w:val="00A83282"/>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3C8C"/>
    <w:rsid w:val="00AA41E9"/>
    <w:rsid w:val="00AA43EE"/>
    <w:rsid w:val="00AA4978"/>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D5"/>
    <w:rsid w:val="00AC406F"/>
    <w:rsid w:val="00AC42F5"/>
    <w:rsid w:val="00AC45B0"/>
    <w:rsid w:val="00AC497A"/>
    <w:rsid w:val="00AC5295"/>
    <w:rsid w:val="00AC534F"/>
    <w:rsid w:val="00AC53B8"/>
    <w:rsid w:val="00AC5709"/>
    <w:rsid w:val="00AC581E"/>
    <w:rsid w:val="00AC5DD4"/>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181"/>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6D2"/>
    <w:rsid w:val="00B30C03"/>
    <w:rsid w:val="00B318FA"/>
    <w:rsid w:val="00B31A89"/>
    <w:rsid w:val="00B320D8"/>
    <w:rsid w:val="00B32373"/>
    <w:rsid w:val="00B324E8"/>
    <w:rsid w:val="00B32557"/>
    <w:rsid w:val="00B32559"/>
    <w:rsid w:val="00B32B80"/>
    <w:rsid w:val="00B331FC"/>
    <w:rsid w:val="00B33E24"/>
    <w:rsid w:val="00B33E2D"/>
    <w:rsid w:val="00B343E5"/>
    <w:rsid w:val="00B353E9"/>
    <w:rsid w:val="00B357CD"/>
    <w:rsid w:val="00B358C2"/>
    <w:rsid w:val="00B35E25"/>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46D4"/>
    <w:rsid w:val="00B44C1A"/>
    <w:rsid w:val="00B44D7E"/>
    <w:rsid w:val="00B44E6A"/>
    <w:rsid w:val="00B44EF7"/>
    <w:rsid w:val="00B44F8B"/>
    <w:rsid w:val="00B45194"/>
    <w:rsid w:val="00B45348"/>
    <w:rsid w:val="00B45CF4"/>
    <w:rsid w:val="00B47121"/>
    <w:rsid w:val="00B472EE"/>
    <w:rsid w:val="00B4730B"/>
    <w:rsid w:val="00B47354"/>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2C7"/>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05"/>
    <w:rsid w:val="00B713F0"/>
    <w:rsid w:val="00B71C12"/>
    <w:rsid w:val="00B721A8"/>
    <w:rsid w:val="00B7249D"/>
    <w:rsid w:val="00B72788"/>
    <w:rsid w:val="00B728FA"/>
    <w:rsid w:val="00B72B5C"/>
    <w:rsid w:val="00B72E6E"/>
    <w:rsid w:val="00B73A39"/>
    <w:rsid w:val="00B73A64"/>
    <w:rsid w:val="00B73E77"/>
    <w:rsid w:val="00B743F7"/>
    <w:rsid w:val="00B748F3"/>
    <w:rsid w:val="00B74BE6"/>
    <w:rsid w:val="00B75914"/>
    <w:rsid w:val="00B75DAA"/>
    <w:rsid w:val="00B75F4D"/>
    <w:rsid w:val="00B761DD"/>
    <w:rsid w:val="00B76408"/>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5B5F"/>
    <w:rsid w:val="00B85BB1"/>
    <w:rsid w:val="00B86317"/>
    <w:rsid w:val="00B86455"/>
    <w:rsid w:val="00B864E6"/>
    <w:rsid w:val="00B869C8"/>
    <w:rsid w:val="00B86D60"/>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3E7"/>
    <w:rsid w:val="00BC1AD4"/>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868"/>
    <w:rsid w:val="00BE1A01"/>
    <w:rsid w:val="00BE2008"/>
    <w:rsid w:val="00BE270C"/>
    <w:rsid w:val="00BE2DF6"/>
    <w:rsid w:val="00BE3433"/>
    <w:rsid w:val="00BE3A20"/>
    <w:rsid w:val="00BE44F2"/>
    <w:rsid w:val="00BE4635"/>
    <w:rsid w:val="00BE5802"/>
    <w:rsid w:val="00BE59DA"/>
    <w:rsid w:val="00BE5C8B"/>
    <w:rsid w:val="00BE5EB4"/>
    <w:rsid w:val="00BE6090"/>
    <w:rsid w:val="00BE6A9C"/>
    <w:rsid w:val="00BE7242"/>
    <w:rsid w:val="00BE750A"/>
    <w:rsid w:val="00BE770B"/>
    <w:rsid w:val="00BE794D"/>
    <w:rsid w:val="00BE79AC"/>
    <w:rsid w:val="00BE7BDF"/>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A7"/>
    <w:rsid w:val="00BF4E33"/>
    <w:rsid w:val="00BF533B"/>
    <w:rsid w:val="00BF54AD"/>
    <w:rsid w:val="00BF54CB"/>
    <w:rsid w:val="00BF5763"/>
    <w:rsid w:val="00BF5BF5"/>
    <w:rsid w:val="00BF5DD1"/>
    <w:rsid w:val="00BF63FD"/>
    <w:rsid w:val="00BF6445"/>
    <w:rsid w:val="00BF6874"/>
    <w:rsid w:val="00BF6899"/>
    <w:rsid w:val="00BF6904"/>
    <w:rsid w:val="00BF6B43"/>
    <w:rsid w:val="00BF6D01"/>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C31"/>
    <w:rsid w:val="00C02CF3"/>
    <w:rsid w:val="00C02D8C"/>
    <w:rsid w:val="00C0338E"/>
    <w:rsid w:val="00C03687"/>
    <w:rsid w:val="00C040E2"/>
    <w:rsid w:val="00C046D0"/>
    <w:rsid w:val="00C047A7"/>
    <w:rsid w:val="00C04FE8"/>
    <w:rsid w:val="00C0512A"/>
    <w:rsid w:val="00C051E4"/>
    <w:rsid w:val="00C05D69"/>
    <w:rsid w:val="00C05DF9"/>
    <w:rsid w:val="00C06BDD"/>
    <w:rsid w:val="00C06DB8"/>
    <w:rsid w:val="00C07463"/>
    <w:rsid w:val="00C07842"/>
    <w:rsid w:val="00C07889"/>
    <w:rsid w:val="00C078BB"/>
    <w:rsid w:val="00C07944"/>
    <w:rsid w:val="00C07AC4"/>
    <w:rsid w:val="00C07BD2"/>
    <w:rsid w:val="00C07C70"/>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973"/>
    <w:rsid w:val="00C20D5A"/>
    <w:rsid w:val="00C20ED4"/>
    <w:rsid w:val="00C20FB5"/>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9C9"/>
    <w:rsid w:val="00C27FD9"/>
    <w:rsid w:val="00C302E0"/>
    <w:rsid w:val="00C30A45"/>
    <w:rsid w:val="00C30B20"/>
    <w:rsid w:val="00C311ED"/>
    <w:rsid w:val="00C31247"/>
    <w:rsid w:val="00C31383"/>
    <w:rsid w:val="00C3244B"/>
    <w:rsid w:val="00C3252A"/>
    <w:rsid w:val="00C32A96"/>
    <w:rsid w:val="00C32CC1"/>
    <w:rsid w:val="00C32DFA"/>
    <w:rsid w:val="00C32E69"/>
    <w:rsid w:val="00C3366D"/>
    <w:rsid w:val="00C34097"/>
    <w:rsid w:val="00C341B2"/>
    <w:rsid w:val="00C34614"/>
    <w:rsid w:val="00C34653"/>
    <w:rsid w:val="00C347D1"/>
    <w:rsid w:val="00C347F4"/>
    <w:rsid w:val="00C347F8"/>
    <w:rsid w:val="00C3495E"/>
    <w:rsid w:val="00C34B7C"/>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3E3F"/>
    <w:rsid w:val="00C440BE"/>
    <w:rsid w:val="00C44842"/>
    <w:rsid w:val="00C44AA1"/>
    <w:rsid w:val="00C44AE6"/>
    <w:rsid w:val="00C44F47"/>
    <w:rsid w:val="00C45054"/>
    <w:rsid w:val="00C462B8"/>
    <w:rsid w:val="00C46757"/>
    <w:rsid w:val="00C467B4"/>
    <w:rsid w:val="00C46A7A"/>
    <w:rsid w:val="00C46D27"/>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5FC5"/>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0B6"/>
    <w:rsid w:val="00CB1B48"/>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ACD"/>
    <w:rsid w:val="00CD3E98"/>
    <w:rsid w:val="00CD3EC2"/>
    <w:rsid w:val="00CD4133"/>
    <w:rsid w:val="00CD48CE"/>
    <w:rsid w:val="00CD4AD9"/>
    <w:rsid w:val="00CD4BB7"/>
    <w:rsid w:val="00CD4ED4"/>
    <w:rsid w:val="00CD5581"/>
    <w:rsid w:val="00CD5613"/>
    <w:rsid w:val="00CD5801"/>
    <w:rsid w:val="00CD5BC3"/>
    <w:rsid w:val="00CD648F"/>
    <w:rsid w:val="00CD65F0"/>
    <w:rsid w:val="00CD6B79"/>
    <w:rsid w:val="00CD71B7"/>
    <w:rsid w:val="00CD761F"/>
    <w:rsid w:val="00CE015D"/>
    <w:rsid w:val="00CE04A6"/>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56A"/>
    <w:rsid w:val="00CF082F"/>
    <w:rsid w:val="00CF1281"/>
    <w:rsid w:val="00CF1420"/>
    <w:rsid w:val="00CF14BA"/>
    <w:rsid w:val="00CF196F"/>
    <w:rsid w:val="00CF1F7E"/>
    <w:rsid w:val="00CF1FB2"/>
    <w:rsid w:val="00CF2024"/>
    <w:rsid w:val="00CF2A28"/>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48E"/>
    <w:rsid w:val="00CF65BD"/>
    <w:rsid w:val="00CF6C69"/>
    <w:rsid w:val="00CF706E"/>
    <w:rsid w:val="00CF731B"/>
    <w:rsid w:val="00CF7479"/>
    <w:rsid w:val="00CF755A"/>
    <w:rsid w:val="00CF75D2"/>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463"/>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6B9"/>
    <w:rsid w:val="00D40869"/>
    <w:rsid w:val="00D40974"/>
    <w:rsid w:val="00D40B68"/>
    <w:rsid w:val="00D40C2C"/>
    <w:rsid w:val="00D40C82"/>
    <w:rsid w:val="00D40CAA"/>
    <w:rsid w:val="00D410A9"/>
    <w:rsid w:val="00D416A1"/>
    <w:rsid w:val="00D419BF"/>
    <w:rsid w:val="00D41A2A"/>
    <w:rsid w:val="00D41CAA"/>
    <w:rsid w:val="00D41DD7"/>
    <w:rsid w:val="00D42439"/>
    <w:rsid w:val="00D42728"/>
    <w:rsid w:val="00D42E17"/>
    <w:rsid w:val="00D43548"/>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BD7"/>
    <w:rsid w:val="00D55313"/>
    <w:rsid w:val="00D55603"/>
    <w:rsid w:val="00D5564C"/>
    <w:rsid w:val="00D56098"/>
    <w:rsid w:val="00D5625F"/>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61C"/>
    <w:rsid w:val="00D83843"/>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982"/>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32E1"/>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CB"/>
    <w:rsid w:val="00DB243F"/>
    <w:rsid w:val="00DB2660"/>
    <w:rsid w:val="00DB2EE3"/>
    <w:rsid w:val="00DB3587"/>
    <w:rsid w:val="00DB3C87"/>
    <w:rsid w:val="00DB415A"/>
    <w:rsid w:val="00DB41AF"/>
    <w:rsid w:val="00DB460F"/>
    <w:rsid w:val="00DB466B"/>
    <w:rsid w:val="00DB4CAD"/>
    <w:rsid w:val="00DB503B"/>
    <w:rsid w:val="00DB5865"/>
    <w:rsid w:val="00DB6278"/>
    <w:rsid w:val="00DB64B4"/>
    <w:rsid w:val="00DB6513"/>
    <w:rsid w:val="00DB6726"/>
    <w:rsid w:val="00DB7209"/>
    <w:rsid w:val="00DB76AC"/>
    <w:rsid w:val="00DB7CD7"/>
    <w:rsid w:val="00DB7DB6"/>
    <w:rsid w:val="00DB7FBF"/>
    <w:rsid w:val="00DB7FF4"/>
    <w:rsid w:val="00DC05A5"/>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7BA"/>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0EC3"/>
    <w:rsid w:val="00DF11D9"/>
    <w:rsid w:val="00DF14FC"/>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F85"/>
    <w:rsid w:val="00E02AB1"/>
    <w:rsid w:val="00E0310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F36"/>
    <w:rsid w:val="00E146C7"/>
    <w:rsid w:val="00E14911"/>
    <w:rsid w:val="00E149F3"/>
    <w:rsid w:val="00E15647"/>
    <w:rsid w:val="00E15CC7"/>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9DF"/>
    <w:rsid w:val="00E50B71"/>
    <w:rsid w:val="00E50BF0"/>
    <w:rsid w:val="00E51303"/>
    <w:rsid w:val="00E51739"/>
    <w:rsid w:val="00E517D5"/>
    <w:rsid w:val="00E52074"/>
    <w:rsid w:val="00E52944"/>
    <w:rsid w:val="00E5295A"/>
    <w:rsid w:val="00E529AC"/>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8AC"/>
    <w:rsid w:val="00E81AD7"/>
    <w:rsid w:val="00E81C4B"/>
    <w:rsid w:val="00E81F0A"/>
    <w:rsid w:val="00E82102"/>
    <w:rsid w:val="00E82276"/>
    <w:rsid w:val="00E8238C"/>
    <w:rsid w:val="00E824DA"/>
    <w:rsid w:val="00E827F3"/>
    <w:rsid w:val="00E82A31"/>
    <w:rsid w:val="00E838D0"/>
    <w:rsid w:val="00E84868"/>
    <w:rsid w:val="00E8509C"/>
    <w:rsid w:val="00E85709"/>
    <w:rsid w:val="00E8575A"/>
    <w:rsid w:val="00E85B9D"/>
    <w:rsid w:val="00E85CF5"/>
    <w:rsid w:val="00E8613E"/>
    <w:rsid w:val="00E86162"/>
    <w:rsid w:val="00E86195"/>
    <w:rsid w:val="00E865FA"/>
    <w:rsid w:val="00E86C57"/>
    <w:rsid w:val="00E86F09"/>
    <w:rsid w:val="00E86FCA"/>
    <w:rsid w:val="00E870D1"/>
    <w:rsid w:val="00E87F0E"/>
    <w:rsid w:val="00E90418"/>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E52"/>
    <w:rsid w:val="00E96F02"/>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62C5"/>
    <w:rsid w:val="00EB6396"/>
    <w:rsid w:val="00EB6864"/>
    <w:rsid w:val="00EB6CE7"/>
    <w:rsid w:val="00EB6D46"/>
    <w:rsid w:val="00EB6F3E"/>
    <w:rsid w:val="00EB769E"/>
    <w:rsid w:val="00EB76AE"/>
    <w:rsid w:val="00EB77A9"/>
    <w:rsid w:val="00EB7DAA"/>
    <w:rsid w:val="00EB7E1F"/>
    <w:rsid w:val="00EC00E4"/>
    <w:rsid w:val="00EC01CB"/>
    <w:rsid w:val="00EC0467"/>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218F"/>
    <w:rsid w:val="00ED2C98"/>
    <w:rsid w:val="00ED3289"/>
    <w:rsid w:val="00ED341C"/>
    <w:rsid w:val="00ED38F2"/>
    <w:rsid w:val="00ED3AB4"/>
    <w:rsid w:val="00ED43A7"/>
    <w:rsid w:val="00ED4801"/>
    <w:rsid w:val="00ED491B"/>
    <w:rsid w:val="00ED49A5"/>
    <w:rsid w:val="00ED54B6"/>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CD7"/>
    <w:rsid w:val="00EE621A"/>
    <w:rsid w:val="00EE635D"/>
    <w:rsid w:val="00EE63BF"/>
    <w:rsid w:val="00EE67E6"/>
    <w:rsid w:val="00EE6A4A"/>
    <w:rsid w:val="00EE6ADA"/>
    <w:rsid w:val="00EE7788"/>
    <w:rsid w:val="00EE78CA"/>
    <w:rsid w:val="00EE7AE5"/>
    <w:rsid w:val="00EF03C9"/>
    <w:rsid w:val="00EF03DB"/>
    <w:rsid w:val="00EF0513"/>
    <w:rsid w:val="00EF055A"/>
    <w:rsid w:val="00EF0E09"/>
    <w:rsid w:val="00EF0E8F"/>
    <w:rsid w:val="00EF10BF"/>
    <w:rsid w:val="00EF14B8"/>
    <w:rsid w:val="00EF18B1"/>
    <w:rsid w:val="00EF1A25"/>
    <w:rsid w:val="00EF1B9B"/>
    <w:rsid w:val="00EF1F65"/>
    <w:rsid w:val="00EF2775"/>
    <w:rsid w:val="00EF2D48"/>
    <w:rsid w:val="00EF3255"/>
    <w:rsid w:val="00EF38F2"/>
    <w:rsid w:val="00EF3D4B"/>
    <w:rsid w:val="00EF4045"/>
    <w:rsid w:val="00EF4484"/>
    <w:rsid w:val="00EF4905"/>
    <w:rsid w:val="00EF5216"/>
    <w:rsid w:val="00EF57EE"/>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5D6"/>
    <w:rsid w:val="00F2207C"/>
    <w:rsid w:val="00F221FB"/>
    <w:rsid w:val="00F22511"/>
    <w:rsid w:val="00F225B9"/>
    <w:rsid w:val="00F227E1"/>
    <w:rsid w:val="00F2283C"/>
    <w:rsid w:val="00F22BA2"/>
    <w:rsid w:val="00F22D53"/>
    <w:rsid w:val="00F233B2"/>
    <w:rsid w:val="00F23468"/>
    <w:rsid w:val="00F237BF"/>
    <w:rsid w:val="00F2408C"/>
    <w:rsid w:val="00F242F4"/>
    <w:rsid w:val="00F24D3F"/>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3F7"/>
    <w:rsid w:val="00F315AD"/>
    <w:rsid w:val="00F31A5A"/>
    <w:rsid w:val="00F31AD9"/>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4B4"/>
    <w:rsid w:val="00F44984"/>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DBE"/>
    <w:rsid w:val="00F500E2"/>
    <w:rsid w:val="00F503F1"/>
    <w:rsid w:val="00F5089C"/>
    <w:rsid w:val="00F509E9"/>
    <w:rsid w:val="00F50B88"/>
    <w:rsid w:val="00F50CB2"/>
    <w:rsid w:val="00F50E59"/>
    <w:rsid w:val="00F50F6A"/>
    <w:rsid w:val="00F51221"/>
    <w:rsid w:val="00F512A5"/>
    <w:rsid w:val="00F51956"/>
    <w:rsid w:val="00F51CC5"/>
    <w:rsid w:val="00F51E35"/>
    <w:rsid w:val="00F52127"/>
    <w:rsid w:val="00F523D8"/>
    <w:rsid w:val="00F52536"/>
    <w:rsid w:val="00F526D8"/>
    <w:rsid w:val="00F52C27"/>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5FA2"/>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41C"/>
    <w:rsid w:val="00FA7B3F"/>
    <w:rsid w:val="00FA7E4B"/>
    <w:rsid w:val="00FB005F"/>
    <w:rsid w:val="00FB02E0"/>
    <w:rsid w:val="00FB086B"/>
    <w:rsid w:val="00FB08CA"/>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A4E"/>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22F"/>
    <w:rsid w:val="00FC3310"/>
    <w:rsid w:val="00FC3489"/>
    <w:rsid w:val="00FC40B0"/>
    <w:rsid w:val="00FC43EC"/>
    <w:rsid w:val="00FC4CDA"/>
    <w:rsid w:val="00FC5248"/>
    <w:rsid w:val="00FC54FF"/>
    <w:rsid w:val="00FC55D4"/>
    <w:rsid w:val="00FC57D5"/>
    <w:rsid w:val="00FC5B9C"/>
    <w:rsid w:val="00FC65AA"/>
    <w:rsid w:val="00FC69FB"/>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155"/>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818"/>
    <w:rsid w:val="00FE0987"/>
    <w:rsid w:val="00FE2729"/>
    <w:rsid w:val="00FE28E3"/>
    <w:rsid w:val="00FE347A"/>
    <w:rsid w:val="00FE3668"/>
    <w:rsid w:val="00FE3BF6"/>
    <w:rsid w:val="00FE4029"/>
    <w:rsid w:val="00FE460D"/>
    <w:rsid w:val="00FE47A9"/>
    <w:rsid w:val="00FE49EF"/>
    <w:rsid w:val="00FE55D4"/>
    <w:rsid w:val="00FE5859"/>
    <w:rsid w:val="00FE58B1"/>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F0F"/>
    <w:rsid w:val="00FF116C"/>
    <w:rsid w:val="00FF1418"/>
    <w:rsid w:val="00FF226C"/>
    <w:rsid w:val="00FF281A"/>
    <w:rsid w:val="00FF29AC"/>
    <w:rsid w:val="00FF2EF3"/>
    <w:rsid w:val="00FF2F70"/>
    <w:rsid w:val="00FF310B"/>
    <w:rsid w:val="00FF31EE"/>
    <w:rsid w:val="00FF37AB"/>
    <w:rsid w:val="00FF4085"/>
    <w:rsid w:val="00FF438E"/>
    <w:rsid w:val="00FF4531"/>
    <w:rsid w:val="00FF46CA"/>
    <w:rsid w:val="00FF4EE8"/>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ED3"/>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37"/>
      </w:numPr>
      <w:tabs>
        <w:tab w:val="clear" w:pos="1622"/>
      </w:tabs>
    </w:pPr>
    <w:rPr>
      <w:lang w:val="en-GB"/>
    </w:rPr>
  </w:style>
  <w:style w:type="character" w:customStyle="1" w:styleId="ui-provider">
    <w:name w:val="ui-provider"/>
    <w:basedOn w:val="DefaultParagraphFon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4.xml><?xml version="1.0" encoding="utf-8"?>
<ds:datastoreItem xmlns:ds="http://schemas.openxmlformats.org/officeDocument/2006/customXml" ds:itemID="{E1FE9E6A-B38E-4B12-8451-643F97FB1266}">
  <ds:schemaRefs>
    <ds:schemaRef ds:uri="http://schemas.openxmlformats.org/officeDocument/2006/bibliography"/>
  </ds:schemaRefs>
</ds:datastoreItem>
</file>

<file path=customXml/itemProps5.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1787</Words>
  <Characters>10190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vivo(Boubacar)</cp:lastModifiedBy>
  <cp:revision>4</cp:revision>
  <dcterms:created xsi:type="dcterms:W3CDTF">2024-11-08T07:56:00Z</dcterms:created>
  <dcterms:modified xsi:type="dcterms:W3CDTF">2024-11-08T08:57:00Z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